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7F02" w14:textId="77777777" w:rsidR="006568AC" w:rsidRDefault="006568AC" w:rsidP="000965F9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2C45A1DF" w14:textId="161DC962" w:rsidR="008E2BBC" w:rsidRPr="006568AC" w:rsidRDefault="008E2BBC" w:rsidP="006568AC">
      <w:pPr>
        <w:pStyle w:val="Default"/>
        <w:spacing w:before="120" w:after="120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PROGRAMA CAPACITAÇÃO INSTITUCIONAL - PCI</w:t>
      </w:r>
    </w:p>
    <w:p w14:paraId="552E9B1E" w14:textId="77777777" w:rsidR="006568AC" w:rsidRDefault="006568AC" w:rsidP="006568AC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065FAC80" w14:textId="59EC315D" w:rsidR="008E2BBC" w:rsidRPr="006568AC" w:rsidRDefault="008E2BBC" w:rsidP="006568AC">
      <w:pPr>
        <w:pStyle w:val="Default"/>
        <w:spacing w:before="120" w:after="120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01/2020</w:t>
      </w:r>
    </w:p>
    <w:p w14:paraId="1F695EBA" w14:textId="1D257A95" w:rsidR="008E2BBC" w:rsidRPr="006568AC" w:rsidRDefault="008E2BBC" w:rsidP="006568AC">
      <w:pPr>
        <w:pStyle w:val="Default"/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</w:p>
    <w:p w14:paraId="42116890" w14:textId="68C7F973" w:rsidR="006568AC" w:rsidRPr="006568AC" w:rsidRDefault="006568A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O </w:t>
      </w:r>
      <w:r>
        <w:rPr>
          <w:sz w:val="22"/>
          <w:szCs w:val="22"/>
        </w:rPr>
        <w:t>Museu Paraense Emilio Goeldi</w:t>
      </w:r>
      <w:r w:rsidRPr="006568AC">
        <w:rPr>
          <w:sz w:val="22"/>
          <w:szCs w:val="22"/>
        </w:rPr>
        <w:t xml:space="preserve"> </w:t>
      </w:r>
      <w:r w:rsidR="00AA4E64">
        <w:rPr>
          <w:sz w:val="22"/>
          <w:szCs w:val="22"/>
        </w:rPr>
        <w:t xml:space="preserve">(MPEG) </w:t>
      </w:r>
      <w:r w:rsidRPr="006568AC">
        <w:rPr>
          <w:sz w:val="22"/>
          <w:szCs w:val="22"/>
        </w:rPr>
        <w:t xml:space="preserve">torna pública a presente Chamada </w:t>
      </w:r>
      <w:r w:rsidR="007D725A" w:rsidRPr="007D725A">
        <w:rPr>
          <w:sz w:val="22"/>
          <w:szCs w:val="22"/>
        </w:rPr>
        <w:t>em conformidade com a RN n</w:t>
      </w:r>
      <w:r w:rsidR="007D725A" w:rsidRPr="00B43C94">
        <w:rPr>
          <w:sz w:val="22"/>
          <w:szCs w:val="22"/>
          <w:vertAlign w:val="superscript"/>
        </w:rPr>
        <w:t>o</w:t>
      </w:r>
      <w:r w:rsidR="007D725A" w:rsidRPr="007D725A">
        <w:rPr>
          <w:sz w:val="22"/>
          <w:szCs w:val="22"/>
        </w:rPr>
        <w:t>. 026/2018 do CNPq e Portaria no. 2.195/2018 do MCTIC</w:t>
      </w:r>
      <w:r w:rsidR="007D725A">
        <w:rPr>
          <w:sz w:val="22"/>
          <w:szCs w:val="22"/>
        </w:rPr>
        <w:t>,</w:t>
      </w:r>
      <w:r w:rsidR="007D725A" w:rsidRPr="007D725A">
        <w:rPr>
          <w:sz w:val="22"/>
          <w:szCs w:val="22"/>
        </w:rPr>
        <w:t xml:space="preserve"> </w:t>
      </w:r>
      <w:r w:rsidRPr="006568AC">
        <w:rPr>
          <w:sz w:val="22"/>
          <w:szCs w:val="22"/>
        </w:rPr>
        <w:t>e convida os interessados a apresentarem propostas nos termos aqui estabelecidos</w:t>
      </w:r>
      <w:r>
        <w:rPr>
          <w:sz w:val="22"/>
          <w:szCs w:val="22"/>
        </w:rPr>
        <w:t>.</w:t>
      </w:r>
      <w:r w:rsidRPr="006568AC">
        <w:rPr>
          <w:sz w:val="22"/>
          <w:szCs w:val="22"/>
        </w:rPr>
        <w:t xml:space="preserve"> </w:t>
      </w:r>
    </w:p>
    <w:p w14:paraId="12B08384" w14:textId="41CF2028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1. OBJETO </w:t>
      </w:r>
    </w:p>
    <w:p w14:paraId="18B2077E" w14:textId="16CBAAD6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A presente Chamada tem por finalidade a seleção de </w:t>
      </w:r>
      <w:r w:rsidR="00E33E72">
        <w:rPr>
          <w:sz w:val="22"/>
          <w:szCs w:val="22"/>
        </w:rPr>
        <w:t>pessoal qualificado</w:t>
      </w:r>
      <w:r w:rsidRPr="006568AC">
        <w:rPr>
          <w:sz w:val="22"/>
          <w:szCs w:val="22"/>
        </w:rPr>
        <w:t xml:space="preserve"> que contribua para a execução de </w:t>
      </w:r>
      <w:r w:rsidRPr="00B43C94">
        <w:rPr>
          <w:sz w:val="22"/>
          <w:szCs w:val="22"/>
        </w:rPr>
        <w:t>projetos de pesquisa</w:t>
      </w:r>
      <w:r w:rsidR="005E5D32">
        <w:rPr>
          <w:sz w:val="22"/>
          <w:szCs w:val="22"/>
        </w:rPr>
        <w:t xml:space="preserve"> </w:t>
      </w:r>
      <w:r w:rsidR="005E5D32" w:rsidRPr="006568AC">
        <w:rPr>
          <w:sz w:val="22"/>
          <w:szCs w:val="22"/>
        </w:rPr>
        <w:t>no</w:t>
      </w:r>
      <w:r w:rsidRPr="006568AC">
        <w:rPr>
          <w:sz w:val="22"/>
          <w:szCs w:val="22"/>
        </w:rPr>
        <w:t xml:space="preserve"> âmbito do Subprograma de Capacitação Institucional – SCI/PCI do MPEG. </w:t>
      </w:r>
    </w:p>
    <w:p w14:paraId="14DC6C31" w14:textId="47280B28" w:rsidR="008E2BBC" w:rsidRPr="006568AC" w:rsidRDefault="008E2BBC" w:rsidP="000965F9">
      <w:pPr>
        <w:pStyle w:val="Default"/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2. PROJETOS DE PESQUISA A SEREM APOIADOS´</w:t>
      </w:r>
    </w:p>
    <w:p w14:paraId="62BB7DB8" w14:textId="66C54FF7" w:rsidR="006568AC" w:rsidRDefault="006568AC" w:rsidP="000965F9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6568AC">
        <w:rPr>
          <w:sz w:val="22"/>
          <w:szCs w:val="22"/>
        </w:rPr>
        <w:t>Os seguintes projetos de pesquisa e desenvolvimento tecnológico serão apoiados no âmbito do Programa de Capacitação Institucional, cujas bolsas disponíveis estão listadas no Anexo A</w:t>
      </w:r>
      <w:r w:rsidR="00D40C21">
        <w:rPr>
          <w:sz w:val="22"/>
          <w:szCs w:val="22"/>
        </w:rPr>
        <w:t xml:space="preserve">, de acordo com </w:t>
      </w:r>
      <w:r w:rsidR="00E33E72">
        <w:rPr>
          <w:sz w:val="22"/>
          <w:szCs w:val="22"/>
        </w:rPr>
        <w:t>a</w:t>
      </w:r>
      <w:r w:rsidR="00D40C21">
        <w:rPr>
          <w:sz w:val="22"/>
          <w:szCs w:val="22"/>
        </w:rPr>
        <w:t xml:space="preserve">s seguintes </w:t>
      </w:r>
      <w:r w:rsidR="00E33E72">
        <w:rPr>
          <w:sz w:val="22"/>
          <w:szCs w:val="22"/>
        </w:rPr>
        <w:t>áreas de atuação</w:t>
      </w:r>
      <w:r w:rsidRPr="006568AC">
        <w:rPr>
          <w:sz w:val="22"/>
          <w:szCs w:val="22"/>
        </w:rPr>
        <w:t>:</w:t>
      </w:r>
      <w:r w:rsidRPr="006568AC">
        <w:rPr>
          <w:sz w:val="20"/>
          <w:szCs w:val="20"/>
        </w:rPr>
        <w:t xml:space="preserve"> </w:t>
      </w:r>
    </w:p>
    <w:p w14:paraId="30DB5F53" w14:textId="77D758C1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Dinâmicas Ambientais e Socioculturais</w:t>
      </w:r>
    </w:p>
    <w:p w14:paraId="310EC1C0" w14:textId="3A999AC3" w:rsidR="008E2BBC" w:rsidRPr="006568AC" w:rsidRDefault="00D40C21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Orige</w:t>
      </w:r>
      <w:r>
        <w:rPr>
          <w:sz w:val="22"/>
          <w:szCs w:val="22"/>
        </w:rPr>
        <w:t>m</w:t>
      </w:r>
      <w:r w:rsidR="008E2BBC" w:rsidRPr="006568AC">
        <w:rPr>
          <w:sz w:val="22"/>
          <w:szCs w:val="22"/>
        </w:rPr>
        <w:t>, Manutenção e Usos da Biodiversidade</w:t>
      </w:r>
    </w:p>
    <w:p w14:paraId="0BEF941C" w14:textId="415B8681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Modelagem Ambiental da Amazônia (Rede GEOMA)</w:t>
      </w:r>
    </w:p>
    <w:p w14:paraId="45835036" w14:textId="41E462BD" w:rsidR="008E2BBC" w:rsidRPr="006568AC" w:rsidRDefault="008E2BBC" w:rsidP="006568AC">
      <w:pPr>
        <w:pStyle w:val="Default"/>
        <w:numPr>
          <w:ilvl w:val="0"/>
          <w:numId w:val="1"/>
        </w:numPr>
        <w:spacing w:before="120" w:after="120" w:line="360" w:lineRule="auto"/>
        <w:rPr>
          <w:sz w:val="22"/>
          <w:szCs w:val="22"/>
        </w:rPr>
      </w:pPr>
      <w:r w:rsidRPr="006568AC">
        <w:rPr>
          <w:sz w:val="22"/>
          <w:szCs w:val="22"/>
        </w:rPr>
        <w:t>Inovação e Transferência de Tecnologia</w:t>
      </w:r>
    </w:p>
    <w:p w14:paraId="25118BC2" w14:textId="12883EE1" w:rsidR="00EC2606" w:rsidRDefault="00EC2606" w:rsidP="00EC2606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568AC">
        <w:rPr>
          <w:b/>
          <w:bCs/>
          <w:sz w:val="22"/>
          <w:szCs w:val="22"/>
        </w:rPr>
        <w:t>. CRONOGRAMA</w:t>
      </w:r>
    </w:p>
    <w:tbl>
      <w:tblPr>
        <w:tblW w:w="8714" w:type="dxa"/>
        <w:tblInd w:w="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5"/>
        <w:gridCol w:w="3119"/>
      </w:tblGrid>
      <w:tr w:rsidR="00EC2606" w:rsidRPr="006568AC" w14:paraId="067B6A91" w14:textId="77777777" w:rsidTr="00CF586A"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2F2F2"/>
          </w:tcPr>
          <w:p w14:paraId="2D2B44E1" w14:textId="77777777" w:rsidR="00EC2606" w:rsidRPr="006568AC" w:rsidRDefault="00EC2606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  <w:b/>
              </w:rPr>
              <w:t>FASES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2F2F2"/>
          </w:tcPr>
          <w:p w14:paraId="6FFE3670" w14:textId="77777777" w:rsidR="00EC2606" w:rsidRPr="006568AC" w:rsidRDefault="00EC2606" w:rsidP="003B72ED">
            <w:pPr>
              <w:spacing w:before="120" w:after="120"/>
              <w:ind w:right="-60"/>
              <w:jc w:val="center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  <w:b/>
              </w:rPr>
              <w:t>DATA</w:t>
            </w:r>
          </w:p>
        </w:tc>
      </w:tr>
      <w:tr w:rsidR="00EC2606" w:rsidRPr="006568AC" w14:paraId="7E7FB7FC" w14:textId="77777777" w:rsidTr="00CF586A"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B3E42A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 xml:space="preserve">Lançamento da Chamada no </w:t>
            </w:r>
            <w:r w:rsidRPr="006568AC">
              <w:rPr>
                <w:rFonts w:ascii="Arial" w:hAnsi="Arial" w:cs="Arial"/>
                <w:bCs/>
              </w:rPr>
              <w:t>Diário Oficial da União</w:t>
            </w:r>
            <w:r w:rsidRPr="006568AC">
              <w:rPr>
                <w:rFonts w:ascii="Arial" w:hAnsi="Arial" w:cs="Arial"/>
              </w:rPr>
              <w:t xml:space="preserve"> e na página do </w:t>
            </w:r>
            <w:r w:rsidRPr="006568AC">
              <w:rPr>
                <w:rFonts w:ascii="Arial" w:hAnsi="Arial" w:cs="Arial"/>
                <w:bCs/>
              </w:rPr>
              <w:t>Museu Paraense Emílio Goeldi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44EE88" w14:textId="595C88D4" w:rsidR="00EC2606" w:rsidRPr="006568AC" w:rsidRDefault="00565A51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D83618">
              <w:rPr>
                <w:rFonts w:ascii="Arial" w:eastAsia="Arial Unicode MS" w:hAnsi="Arial" w:cs="Arial"/>
                <w:b/>
                <w:bCs/>
              </w:rPr>
              <w:t>2</w:t>
            </w:r>
            <w:r w:rsidR="00854768">
              <w:rPr>
                <w:rFonts w:ascii="Arial" w:eastAsia="Arial Unicode MS" w:hAnsi="Arial" w:cs="Arial"/>
                <w:b/>
                <w:bCs/>
              </w:rPr>
              <w:t>/0</w:t>
            </w:r>
            <w:r w:rsidR="00F0283A">
              <w:rPr>
                <w:rFonts w:ascii="Arial" w:eastAsia="Arial Unicode MS" w:hAnsi="Arial" w:cs="Arial"/>
                <w:b/>
                <w:bCs/>
              </w:rPr>
              <w:t>6</w:t>
            </w:r>
            <w:r w:rsidR="00854768">
              <w:rPr>
                <w:rFonts w:ascii="Arial" w:eastAsia="Arial Unicode MS" w:hAnsi="Arial" w:cs="Arial"/>
                <w:b/>
                <w:bCs/>
              </w:rPr>
              <w:t>/202</w:t>
            </w:r>
            <w:r w:rsidR="00F0283A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</w:tr>
      <w:tr w:rsidR="00EC2606" w:rsidRPr="006568AC" w14:paraId="44E61C14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C243EC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>Prazo para impugnação da Chamada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</w:tcPr>
          <w:p w14:paraId="2BB47480" w14:textId="100A8183" w:rsidR="00EC2606" w:rsidRPr="006568AC" w:rsidRDefault="00565A51" w:rsidP="00CF586A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  <w:highlight w:val="cyan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D83618">
              <w:rPr>
                <w:rFonts w:ascii="Arial" w:eastAsia="Arial Unicode MS" w:hAnsi="Arial" w:cs="Arial"/>
                <w:b/>
                <w:bCs/>
              </w:rPr>
              <w:t>4</w:t>
            </w:r>
            <w:r w:rsidR="00854768" w:rsidRPr="00F0283A">
              <w:rPr>
                <w:rFonts w:ascii="Arial" w:eastAsia="Arial Unicode MS" w:hAnsi="Arial" w:cs="Arial"/>
                <w:b/>
                <w:bCs/>
              </w:rPr>
              <w:t>/0</w:t>
            </w:r>
            <w:r w:rsidR="00F0283A" w:rsidRPr="00F0283A">
              <w:rPr>
                <w:rFonts w:ascii="Arial" w:eastAsia="Arial Unicode MS" w:hAnsi="Arial" w:cs="Arial"/>
                <w:b/>
                <w:bCs/>
              </w:rPr>
              <w:t>6</w:t>
            </w:r>
            <w:r w:rsidR="00854768" w:rsidRPr="00F0283A">
              <w:rPr>
                <w:rFonts w:ascii="Arial" w:eastAsia="Arial Unicode MS" w:hAnsi="Arial" w:cs="Arial"/>
                <w:b/>
                <w:bCs/>
              </w:rPr>
              <w:t>/202</w:t>
            </w:r>
            <w:r w:rsidR="00F0283A" w:rsidRPr="00F0283A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</w:tr>
      <w:tr w:rsidR="00EC2606" w:rsidRPr="006568AC" w14:paraId="5555154C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D01357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>Data limite para submissão das propostas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82D5E9" w14:textId="7ACF3CA8" w:rsidR="00EC2606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F0283A">
              <w:rPr>
                <w:rFonts w:ascii="Arial" w:eastAsia="Arial Unicode MS" w:hAnsi="Arial" w:cs="Arial"/>
                <w:b/>
                <w:bCs/>
              </w:rPr>
              <w:t>2</w:t>
            </w:r>
            <w:r>
              <w:rPr>
                <w:rFonts w:ascii="Arial" w:eastAsia="Arial Unicode MS" w:hAnsi="Arial" w:cs="Arial"/>
                <w:b/>
                <w:bCs/>
              </w:rPr>
              <w:t>/0</w:t>
            </w:r>
            <w:r w:rsidR="00F0283A">
              <w:rPr>
                <w:rFonts w:ascii="Arial" w:eastAsia="Arial Unicode MS" w:hAnsi="Arial" w:cs="Arial"/>
                <w:b/>
                <w:bCs/>
              </w:rPr>
              <w:t>7</w:t>
            </w:r>
            <w:r>
              <w:rPr>
                <w:rFonts w:ascii="Arial" w:eastAsia="Arial Unicode MS" w:hAnsi="Arial" w:cs="Arial"/>
                <w:b/>
                <w:bCs/>
              </w:rPr>
              <w:t>/202</w:t>
            </w:r>
            <w:r w:rsidR="00F0283A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</w:tr>
      <w:tr w:rsidR="002A0525" w:rsidRPr="006568AC" w14:paraId="61ADCE61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812104" w14:textId="67B56248" w:rsidR="002A0525" w:rsidRPr="006568AC" w:rsidRDefault="002A0525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das inscrições (</w:t>
            </w:r>
            <w:proofErr w:type="spellStart"/>
            <w:r w:rsidR="00AE14E0"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>-enquadramento) –</w:t>
            </w:r>
            <w:r w:rsidR="00D40C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divulgação na </w:t>
            </w:r>
            <w:r w:rsidR="00D40C21" w:rsidRPr="006568AC">
              <w:rPr>
                <w:rFonts w:ascii="Arial" w:hAnsi="Arial" w:cs="Arial"/>
              </w:rPr>
              <w:t xml:space="preserve">página do </w:t>
            </w:r>
            <w:r w:rsidR="00D40C21" w:rsidRPr="006568AC">
              <w:rPr>
                <w:rFonts w:ascii="Arial" w:hAnsi="Arial" w:cs="Arial"/>
                <w:bCs/>
              </w:rPr>
              <w:t xml:space="preserve">Museu Paraense Emílio Goeldi </w:t>
            </w:r>
            <w:r w:rsidR="00D40C21" w:rsidRPr="006568AC">
              <w:rPr>
                <w:rFonts w:ascii="Arial" w:hAnsi="Arial" w:cs="Arial"/>
              </w:rPr>
              <w:t>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DC54CC" w14:textId="117422D4" w:rsidR="002A0525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19/0</w:t>
            </w:r>
            <w:r w:rsidR="00F0283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/202</w:t>
            </w:r>
            <w:r w:rsidR="00F0283A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C2606" w:rsidRPr="006568AC" w14:paraId="72F02B39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1EF3A7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lastRenderedPageBreak/>
              <w:t>Julgamento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A762EDB" w14:textId="0AD9AFC5" w:rsidR="00EC2606" w:rsidRPr="006568AC" w:rsidRDefault="002A0525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20/0</w:t>
            </w:r>
            <w:r w:rsidR="00F0283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a 10/0</w:t>
            </w:r>
            <w:r w:rsidR="00F028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C2606" w:rsidRPr="006568AC" w14:paraId="1F852FDE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B7153C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eastAsia="Arial Unicode MS" w:hAnsi="Arial" w:cs="Arial"/>
              </w:rPr>
            </w:pPr>
            <w:r w:rsidRPr="006568AC">
              <w:rPr>
                <w:rFonts w:ascii="Arial" w:hAnsi="Arial" w:cs="Arial"/>
              </w:rPr>
              <w:t xml:space="preserve">Divulgação do Resultado preliminar do julgamento no Diário Oficial da União, por extrato, e na página do </w:t>
            </w:r>
            <w:r w:rsidRPr="006568AC">
              <w:rPr>
                <w:rFonts w:ascii="Arial" w:hAnsi="Arial" w:cs="Arial"/>
                <w:bCs/>
              </w:rPr>
              <w:t xml:space="preserve">Museu Paraense Emílio Goeldi </w:t>
            </w:r>
            <w:r w:rsidRPr="006568AC">
              <w:rPr>
                <w:rFonts w:ascii="Arial" w:hAnsi="Arial" w:cs="Arial"/>
              </w:rPr>
              <w:t>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4B64516" w14:textId="2E97ACDD" w:rsidR="00EC2606" w:rsidRPr="006568AC" w:rsidRDefault="00F0283A" w:rsidP="003B72ED">
            <w:pPr>
              <w:spacing w:before="120" w:after="120"/>
              <w:ind w:right="375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</w:t>
            </w:r>
            <w:r w:rsidR="00854768">
              <w:rPr>
                <w:rFonts w:ascii="Arial" w:eastAsia="Arial Unicode MS" w:hAnsi="Arial" w:cs="Arial"/>
                <w:b/>
                <w:bCs/>
              </w:rPr>
              <w:t>/0</w:t>
            </w:r>
            <w:r>
              <w:rPr>
                <w:rFonts w:ascii="Arial" w:eastAsia="Arial Unicode MS" w:hAnsi="Arial" w:cs="Arial"/>
                <w:b/>
                <w:bCs/>
              </w:rPr>
              <w:t>8</w:t>
            </w:r>
            <w:r w:rsidR="00854768">
              <w:rPr>
                <w:rFonts w:ascii="Arial" w:eastAsia="Arial Unicode MS" w:hAnsi="Arial" w:cs="Arial"/>
                <w:b/>
                <w:bCs/>
              </w:rPr>
              <w:t>/202</w:t>
            </w:r>
            <w:r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</w:tr>
      <w:tr w:rsidR="00EC2606" w:rsidRPr="006568AC" w14:paraId="3FE48F56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8A1E15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>Prazo para interposição de recurso administrativo do resultado preliminar do julgamento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4B0DB93" w14:textId="37A27D60" w:rsidR="00EC2606" w:rsidRPr="006568AC" w:rsidRDefault="00854768" w:rsidP="003B72ED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0283A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/0</w:t>
            </w:r>
            <w:r w:rsidR="00F0283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/202</w:t>
            </w:r>
            <w:r w:rsidR="00F0283A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C2606" w:rsidRPr="006568AC" w14:paraId="2DB0B4BE" w14:textId="77777777" w:rsidTr="00CF586A">
        <w:tblPrEx>
          <w:tblCellMar>
            <w:left w:w="45" w:type="dxa"/>
            <w:right w:w="45" w:type="dxa"/>
          </w:tblCellMar>
        </w:tblPrEx>
        <w:tc>
          <w:tcPr>
            <w:tcW w:w="55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5BB6AD" w14:textId="77777777" w:rsidR="00EC2606" w:rsidRPr="006568AC" w:rsidRDefault="00EC2606" w:rsidP="003B72ED">
            <w:pPr>
              <w:spacing w:before="120" w:after="120"/>
              <w:ind w:right="375"/>
              <w:rPr>
                <w:rFonts w:ascii="Arial" w:hAnsi="Arial" w:cs="Arial"/>
              </w:rPr>
            </w:pPr>
            <w:r w:rsidRPr="006568AC">
              <w:rPr>
                <w:rFonts w:ascii="Arial" w:hAnsi="Arial" w:cs="Arial"/>
              </w:rPr>
              <w:t xml:space="preserve">Divulgação Final das propostas aprovadas no Diário Oficial da União, por extrato, e na página do </w:t>
            </w:r>
            <w:r w:rsidRPr="006568AC">
              <w:rPr>
                <w:rFonts w:ascii="Arial" w:hAnsi="Arial" w:cs="Arial"/>
                <w:bCs/>
              </w:rPr>
              <w:t>Museu Paraense Emílio Goeldi</w:t>
            </w:r>
            <w:r w:rsidRPr="006568AC">
              <w:rPr>
                <w:rFonts w:ascii="Arial" w:hAnsi="Arial" w:cs="Arial"/>
              </w:rPr>
              <w:t xml:space="preserve"> na internet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F7BDBEB" w14:textId="30BEEF57" w:rsidR="00EC2606" w:rsidRPr="006568AC" w:rsidRDefault="00854768" w:rsidP="00854768">
            <w:pPr>
              <w:spacing w:before="120" w:after="120"/>
              <w:ind w:right="3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0283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/0</w:t>
            </w:r>
            <w:r w:rsidR="00F0283A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/202</w:t>
            </w:r>
            <w:r w:rsidR="00F0283A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76858CC2" w14:textId="77777777" w:rsidR="00EC2606" w:rsidRDefault="00EC2606" w:rsidP="006568AC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</w:p>
    <w:p w14:paraId="00D62A85" w14:textId="4461C9BF" w:rsidR="008E2BBC" w:rsidRPr="006568AC" w:rsidRDefault="00EC2606" w:rsidP="006568AC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 CRITÉRIOS DE ELEGIBILIDADE </w:t>
      </w:r>
    </w:p>
    <w:p w14:paraId="4A936A27" w14:textId="77777777" w:rsidR="00EC2606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>Os critérios de elegibilidade indicados abaixo são obrigatórios e sua ausência resultará no indeferimento da proposta:</w:t>
      </w:r>
    </w:p>
    <w:p w14:paraId="3329D735" w14:textId="0333C1B7" w:rsidR="008E2BBC" w:rsidRPr="006568AC" w:rsidRDefault="00EC2606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6568AC">
        <w:rPr>
          <w:b/>
          <w:bCs/>
          <w:sz w:val="22"/>
          <w:szCs w:val="22"/>
        </w:rPr>
        <w:t xml:space="preserve">.1 </w:t>
      </w:r>
      <w:r>
        <w:rPr>
          <w:sz w:val="22"/>
          <w:szCs w:val="22"/>
        </w:rPr>
        <w:t>–</w:t>
      </w:r>
      <w:r w:rsidRPr="006568AC">
        <w:rPr>
          <w:sz w:val="22"/>
          <w:szCs w:val="22"/>
        </w:rPr>
        <w:t xml:space="preserve"> </w:t>
      </w:r>
      <w:r>
        <w:rPr>
          <w:sz w:val="22"/>
          <w:szCs w:val="22"/>
        </w:rPr>
        <w:t>Quanto ao proponente</w:t>
      </w:r>
      <w:r w:rsidR="001B44FB">
        <w:rPr>
          <w:sz w:val="22"/>
          <w:szCs w:val="22"/>
        </w:rPr>
        <w:t>:</w:t>
      </w:r>
      <w:r w:rsidR="008E2BBC" w:rsidRPr="006568AC">
        <w:rPr>
          <w:sz w:val="22"/>
          <w:szCs w:val="22"/>
        </w:rPr>
        <w:t xml:space="preserve"> </w:t>
      </w:r>
    </w:p>
    <w:p w14:paraId="7C24D421" w14:textId="06ACBB7A" w:rsidR="008E2BBC" w:rsidRPr="006568AC" w:rsidRDefault="001B44FB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.1.1. </w:t>
      </w:r>
      <w:r w:rsidR="008E2BBC" w:rsidRPr="006568A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proponente, </w:t>
      </w:r>
      <w:r w:rsidR="008E2BBC" w:rsidRPr="006568AC">
        <w:rPr>
          <w:sz w:val="22"/>
          <w:szCs w:val="22"/>
        </w:rPr>
        <w:t xml:space="preserve">responsável pela apresentação da proposta deve atender, obrigatoriamente, aos itens abaixo: </w:t>
      </w:r>
    </w:p>
    <w:p w14:paraId="2BEAE0B0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a) Ser brasileiro ou estrangeiro residente e em situação regular no País; caso o candidato estrangeiro resida no exterior e não tenha visto brasileiro e venha a ser selecionado para receber bolsa PCI em qualquer modalidade, o seu cadastramento no Programa e concessão da bolsa fica vinculado à apresentação do comprovante de permanência legal no país (visto temporário/permanente); </w:t>
      </w:r>
    </w:p>
    <w:p w14:paraId="6CBA8C96" w14:textId="337482D9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b) Ter seu </w:t>
      </w:r>
      <w:r w:rsidRPr="006568AC">
        <w:rPr>
          <w:i/>
          <w:iCs/>
          <w:sz w:val="22"/>
          <w:szCs w:val="22"/>
        </w:rPr>
        <w:t xml:space="preserve">Curriculum Vitae </w:t>
      </w:r>
      <w:r w:rsidRPr="006568AC">
        <w:rPr>
          <w:sz w:val="22"/>
          <w:szCs w:val="22"/>
        </w:rPr>
        <w:t xml:space="preserve">cadastrado na Plataforma Lattes, atualizado em 2020 até a data limite para submissão da proposta; </w:t>
      </w:r>
    </w:p>
    <w:p w14:paraId="4BB04FBA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c) Ter perfil e experiência adequados à categoria/nível de bolsa PCI da proposta, conforme </w:t>
      </w:r>
      <w:r w:rsidRPr="006568AC">
        <w:rPr>
          <w:b/>
          <w:bCs/>
          <w:sz w:val="22"/>
          <w:szCs w:val="22"/>
        </w:rPr>
        <w:t xml:space="preserve">RN n° 026/2018 </w:t>
      </w:r>
      <w:r w:rsidRPr="006568AC">
        <w:rPr>
          <w:sz w:val="22"/>
          <w:szCs w:val="22"/>
        </w:rPr>
        <w:t xml:space="preserve">(CNPq); </w:t>
      </w:r>
    </w:p>
    <w:p w14:paraId="45EF6883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d) Não ter tido vínculo empregatício direto ou indireto ou ter sido aposentado pela mesma instituição executora do projeto. </w:t>
      </w:r>
    </w:p>
    <w:p w14:paraId="0C89508B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e) É vedado ao bolsista o exercício de atividades meio (administrativas, prestação de serviço, consultoria e outras atividades similares). </w:t>
      </w:r>
    </w:p>
    <w:p w14:paraId="0AE3AE01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lastRenderedPageBreak/>
        <w:t xml:space="preserve">f) Não acumular a bolsa pleiteada com outras bolsas de longa duração do CNPq ou de qualquer outra instituição brasileira; </w:t>
      </w:r>
    </w:p>
    <w:p w14:paraId="5B97171B" w14:textId="2305D136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g) Não possuir </w:t>
      </w:r>
      <w:r w:rsidR="001C28F5">
        <w:rPr>
          <w:sz w:val="22"/>
          <w:szCs w:val="22"/>
        </w:rPr>
        <w:t xml:space="preserve">relação de </w:t>
      </w:r>
      <w:r w:rsidRPr="006568AC">
        <w:rPr>
          <w:sz w:val="22"/>
          <w:szCs w:val="22"/>
        </w:rPr>
        <w:t>parentesco</w:t>
      </w:r>
      <w:r w:rsidR="00965F71">
        <w:rPr>
          <w:sz w:val="22"/>
          <w:szCs w:val="22"/>
        </w:rPr>
        <w:t>, consanguíneo ou de afinidade,</w:t>
      </w:r>
      <w:r w:rsidRPr="006568AC">
        <w:rPr>
          <w:sz w:val="22"/>
          <w:szCs w:val="22"/>
        </w:rPr>
        <w:t xml:space="preserve"> com </w:t>
      </w:r>
      <w:r w:rsidR="008C7A79">
        <w:rPr>
          <w:sz w:val="22"/>
          <w:szCs w:val="22"/>
        </w:rPr>
        <w:t>os membros das C</w:t>
      </w:r>
      <w:r w:rsidR="00686FCA">
        <w:rPr>
          <w:sz w:val="22"/>
          <w:szCs w:val="22"/>
        </w:rPr>
        <w:t xml:space="preserve">omissões </w:t>
      </w:r>
      <w:r w:rsidR="00686FCA" w:rsidRPr="00CF586A">
        <w:rPr>
          <w:sz w:val="22"/>
          <w:szCs w:val="22"/>
        </w:rPr>
        <w:t xml:space="preserve">de </w:t>
      </w:r>
      <w:proofErr w:type="spellStart"/>
      <w:r w:rsidR="00686FCA" w:rsidRPr="00CF586A">
        <w:rPr>
          <w:sz w:val="22"/>
          <w:szCs w:val="22"/>
        </w:rPr>
        <w:t>pré</w:t>
      </w:r>
      <w:proofErr w:type="spellEnd"/>
      <w:r w:rsidR="00686FCA" w:rsidRPr="00CF586A">
        <w:rPr>
          <w:sz w:val="22"/>
          <w:szCs w:val="22"/>
        </w:rPr>
        <w:t>-enquadramento</w:t>
      </w:r>
      <w:r w:rsidR="008C7A79" w:rsidRPr="00CF586A">
        <w:rPr>
          <w:sz w:val="22"/>
          <w:szCs w:val="22"/>
        </w:rPr>
        <w:t xml:space="preserve"> e Avaliação</w:t>
      </w:r>
      <w:r w:rsidR="00686FCA" w:rsidRPr="00CF586A">
        <w:rPr>
          <w:sz w:val="22"/>
          <w:szCs w:val="22"/>
        </w:rPr>
        <w:t xml:space="preserve"> de mérito da proposta</w:t>
      </w:r>
      <w:r w:rsidR="008C7A79" w:rsidRPr="00CF586A">
        <w:rPr>
          <w:sz w:val="22"/>
          <w:szCs w:val="22"/>
        </w:rPr>
        <w:t xml:space="preserve"> </w:t>
      </w:r>
      <w:r w:rsidR="00D83618">
        <w:rPr>
          <w:sz w:val="22"/>
          <w:szCs w:val="22"/>
        </w:rPr>
        <w:t>nem com</w:t>
      </w:r>
      <w:r w:rsidR="008C7A79" w:rsidRPr="00CF586A">
        <w:rPr>
          <w:sz w:val="22"/>
          <w:szCs w:val="22"/>
        </w:rPr>
        <w:t xml:space="preserve"> os</w:t>
      </w:r>
      <w:r w:rsidR="00686FCA">
        <w:rPr>
          <w:sz w:val="22"/>
          <w:szCs w:val="22"/>
        </w:rPr>
        <w:t xml:space="preserve"> </w:t>
      </w:r>
      <w:r w:rsidRPr="006568AC">
        <w:rPr>
          <w:sz w:val="22"/>
          <w:szCs w:val="22"/>
        </w:rPr>
        <w:t>ocupantes de funções gratificadas da Instituição</w:t>
      </w:r>
      <w:r w:rsidR="00965F71" w:rsidRPr="00965F71">
        <w:rPr>
          <w:sz w:val="22"/>
          <w:szCs w:val="22"/>
        </w:rPr>
        <w:t>, em linha reta ou colateral, até o terceiro grau</w:t>
      </w:r>
      <w:r w:rsidRPr="006568AC">
        <w:rPr>
          <w:sz w:val="22"/>
          <w:szCs w:val="22"/>
        </w:rPr>
        <w:t xml:space="preserve">, em atendimento ao disposto pela </w:t>
      </w:r>
      <w:r w:rsidRPr="006568AC">
        <w:rPr>
          <w:b/>
          <w:bCs/>
          <w:sz w:val="22"/>
          <w:szCs w:val="22"/>
        </w:rPr>
        <w:t>Lei nº 8.027, 12/04/1990</w:t>
      </w:r>
      <w:r w:rsidRPr="006568AC">
        <w:rPr>
          <w:sz w:val="22"/>
          <w:szCs w:val="22"/>
        </w:rPr>
        <w:t xml:space="preserve">, pelo </w:t>
      </w:r>
      <w:r w:rsidRPr="006568AC">
        <w:rPr>
          <w:b/>
          <w:bCs/>
          <w:sz w:val="22"/>
          <w:szCs w:val="22"/>
        </w:rPr>
        <w:t xml:space="preserve">Decreto nº 6.906 de 21/07/2009 </w:t>
      </w:r>
      <w:r w:rsidRPr="006568AC">
        <w:rPr>
          <w:sz w:val="22"/>
          <w:szCs w:val="22"/>
        </w:rPr>
        <w:t xml:space="preserve">e pelo </w:t>
      </w:r>
      <w:r w:rsidRPr="006568AC">
        <w:rPr>
          <w:b/>
          <w:bCs/>
          <w:sz w:val="22"/>
          <w:szCs w:val="22"/>
        </w:rPr>
        <w:t>Decreto 7.203/2010</w:t>
      </w:r>
      <w:r w:rsidRPr="006568AC">
        <w:rPr>
          <w:sz w:val="22"/>
          <w:szCs w:val="22"/>
        </w:rPr>
        <w:t xml:space="preserve">; </w:t>
      </w:r>
    </w:p>
    <w:p w14:paraId="4E5E503B" w14:textId="77777777" w:rsidR="008E2BBC" w:rsidRPr="006568A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 xml:space="preserve">h) Não possuir vínculo celetista ou estatutário; </w:t>
      </w:r>
    </w:p>
    <w:p w14:paraId="273EBEB5" w14:textId="77777777" w:rsidR="002429FC" w:rsidRDefault="008E2BB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6568AC">
        <w:rPr>
          <w:sz w:val="22"/>
          <w:szCs w:val="22"/>
        </w:rPr>
        <w:t>i) Não estar matriculado em curso de pós-graduação.</w:t>
      </w:r>
    </w:p>
    <w:p w14:paraId="47EF6C84" w14:textId="03D43298" w:rsidR="002429FC" w:rsidRPr="002429FC" w:rsidRDefault="002429FC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1.</w:t>
      </w:r>
      <w:r w:rsidRPr="002429FC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Será aceita UMA ÚNICA PROPOSTA por candidato, o qual deve estar contemplada </w:t>
      </w:r>
      <w:r w:rsidR="00D40C21">
        <w:rPr>
          <w:sz w:val="22"/>
          <w:szCs w:val="22"/>
        </w:rPr>
        <w:t>em um</w:t>
      </w:r>
      <w:r w:rsidR="00E33E72">
        <w:rPr>
          <w:sz w:val="22"/>
          <w:szCs w:val="22"/>
        </w:rPr>
        <w:t>a das áreas de atuação do</w:t>
      </w:r>
      <w:r w:rsidR="00D40C21">
        <w:rPr>
          <w:sz w:val="22"/>
          <w:szCs w:val="22"/>
        </w:rPr>
        <w:t xml:space="preserve"> </w:t>
      </w:r>
      <w:r w:rsidR="00D40C21" w:rsidRPr="006568AC">
        <w:rPr>
          <w:sz w:val="22"/>
          <w:szCs w:val="22"/>
        </w:rPr>
        <w:t>Subprograma de Capacitação Institucional – SCI/PCI do MPEG</w:t>
      </w:r>
      <w:r w:rsidR="00D40C21" w:rsidRPr="002429FC">
        <w:rPr>
          <w:sz w:val="22"/>
          <w:szCs w:val="22"/>
        </w:rPr>
        <w:t xml:space="preserve"> </w:t>
      </w:r>
      <w:r w:rsidRPr="002429FC">
        <w:rPr>
          <w:sz w:val="22"/>
          <w:szCs w:val="22"/>
        </w:rPr>
        <w:t xml:space="preserve">e conforme </w:t>
      </w:r>
      <w:r w:rsidR="00E33E72" w:rsidRPr="002429FC">
        <w:rPr>
          <w:sz w:val="22"/>
          <w:szCs w:val="22"/>
        </w:rPr>
        <w:t>perfi</w:t>
      </w:r>
      <w:r w:rsidR="00E33E72">
        <w:rPr>
          <w:sz w:val="22"/>
          <w:szCs w:val="22"/>
        </w:rPr>
        <w:t>s disponíveis</w:t>
      </w:r>
      <w:r w:rsidR="00E33E72" w:rsidRPr="002429FC">
        <w:rPr>
          <w:sz w:val="22"/>
          <w:szCs w:val="22"/>
        </w:rPr>
        <w:t xml:space="preserve"> </w:t>
      </w:r>
      <w:r w:rsidRPr="002429FC">
        <w:rPr>
          <w:sz w:val="22"/>
          <w:szCs w:val="22"/>
        </w:rPr>
        <w:t xml:space="preserve">(Anexo I). </w:t>
      </w:r>
    </w:p>
    <w:p w14:paraId="1338D714" w14:textId="2DC15093" w:rsidR="008E2BBC" w:rsidRDefault="002429FC" w:rsidP="000965F9">
      <w:pPr>
        <w:pStyle w:val="Default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2429FC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2429F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Na hipótese de envio de mais de uma proposta pelo mesmo candidato</w:t>
      </w:r>
      <w:r>
        <w:rPr>
          <w:sz w:val="22"/>
          <w:szCs w:val="22"/>
        </w:rPr>
        <w:t>,</w:t>
      </w:r>
      <w:r w:rsidRPr="002429FC">
        <w:rPr>
          <w:sz w:val="22"/>
          <w:szCs w:val="22"/>
        </w:rPr>
        <w:t xml:space="preserve"> será considerada para análise apenas a última proposta recebida, sendo as demais descartadas. </w:t>
      </w:r>
      <w:r w:rsidR="008E2BBC" w:rsidRPr="006568AC">
        <w:rPr>
          <w:sz w:val="22"/>
          <w:szCs w:val="22"/>
        </w:rPr>
        <w:t xml:space="preserve"> </w:t>
      </w:r>
    </w:p>
    <w:p w14:paraId="14D1964B" w14:textId="2BE438BB" w:rsidR="00CF0B25" w:rsidRDefault="0063169E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Serão aceitos um máximo de </w:t>
      </w:r>
      <w:r w:rsidR="00D83618" w:rsidRPr="00D83618">
        <w:rPr>
          <w:sz w:val="22"/>
          <w:szCs w:val="22"/>
          <w:u w:val="single"/>
        </w:rPr>
        <w:t>três</w:t>
      </w:r>
      <w:r>
        <w:rPr>
          <w:sz w:val="22"/>
          <w:szCs w:val="22"/>
        </w:rPr>
        <w:t xml:space="preserve"> bolsistas por Supervisor</w:t>
      </w:r>
      <w:r w:rsidR="00CF0B25">
        <w:rPr>
          <w:sz w:val="22"/>
          <w:szCs w:val="22"/>
        </w:rPr>
        <w:t xml:space="preserve"> </w:t>
      </w:r>
    </w:p>
    <w:p w14:paraId="4DA3F2C0" w14:textId="251E6AF1" w:rsidR="00CF0B25" w:rsidRDefault="00CF0B25" w:rsidP="000965F9">
      <w:pPr>
        <w:pStyle w:val="Default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2429FC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2429F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2429F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429FC">
        <w:rPr>
          <w:sz w:val="22"/>
          <w:szCs w:val="22"/>
        </w:rPr>
        <w:t xml:space="preserve"> </w:t>
      </w:r>
      <w:r>
        <w:rPr>
          <w:sz w:val="22"/>
          <w:szCs w:val="22"/>
        </w:rPr>
        <w:t>Não serão aceitas candidaturas de Supervisores que já preencheram sua cota.</w:t>
      </w:r>
    </w:p>
    <w:p w14:paraId="29C9697F" w14:textId="77777777" w:rsidR="003A2CF5" w:rsidRDefault="003A2CF5" w:rsidP="000965F9">
      <w:pPr>
        <w:pStyle w:val="Default"/>
        <w:spacing w:before="120" w:after="120" w:line="360" w:lineRule="auto"/>
        <w:jc w:val="both"/>
        <w:rPr>
          <w:b/>
          <w:bCs/>
          <w:sz w:val="22"/>
          <w:szCs w:val="22"/>
        </w:rPr>
      </w:pPr>
    </w:p>
    <w:p w14:paraId="069FE679" w14:textId="0C22B012" w:rsidR="008E2BBC" w:rsidRPr="006568AC" w:rsidRDefault="001B44FB" w:rsidP="000965F9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E2BBC" w:rsidRPr="006568AC">
        <w:rPr>
          <w:b/>
          <w:bCs/>
          <w:sz w:val="22"/>
          <w:szCs w:val="22"/>
        </w:rPr>
        <w:t xml:space="preserve">.2. Quanto à Instituição de Execução do Projeto: </w:t>
      </w:r>
    </w:p>
    <w:p w14:paraId="1DA792E8" w14:textId="7DBE5BC1" w:rsidR="001B44FB" w:rsidRDefault="001B44FB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E2BBC" w:rsidRPr="006568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8E2BBC" w:rsidRPr="006568AC">
        <w:rPr>
          <w:rFonts w:ascii="Arial" w:hAnsi="Arial" w:cs="Arial"/>
          <w:b/>
          <w:bCs/>
        </w:rPr>
        <w:t xml:space="preserve">.1. </w:t>
      </w:r>
      <w:r w:rsidR="008E2BBC" w:rsidRPr="006568AC">
        <w:rPr>
          <w:rFonts w:ascii="Arial" w:hAnsi="Arial" w:cs="Arial"/>
        </w:rPr>
        <w:t xml:space="preserve">Os projetos referentes às áreas de </w:t>
      </w:r>
      <w:r w:rsidR="00E33E72">
        <w:rPr>
          <w:rFonts w:ascii="Arial" w:hAnsi="Arial" w:cs="Arial"/>
        </w:rPr>
        <w:t>a</w:t>
      </w:r>
      <w:r w:rsidR="00E33E72" w:rsidRPr="006568AC">
        <w:rPr>
          <w:rFonts w:ascii="Arial" w:hAnsi="Arial" w:cs="Arial"/>
        </w:rPr>
        <w:t xml:space="preserve">tuação </w:t>
      </w:r>
      <w:r w:rsidR="008E2BBC" w:rsidRPr="006568AC">
        <w:rPr>
          <w:rFonts w:ascii="Arial" w:hAnsi="Arial" w:cs="Arial"/>
        </w:rPr>
        <w:t xml:space="preserve">1 e 2 </w:t>
      </w:r>
      <w:r w:rsidR="00D83618">
        <w:rPr>
          <w:rFonts w:ascii="Arial" w:hAnsi="Arial" w:cs="Arial"/>
        </w:rPr>
        <w:t>deverão</w:t>
      </w:r>
      <w:r w:rsidR="008E2BBC" w:rsidRPr="006568AC">
        <w:rPr>
          <w:rFonts w:ascii="Arial" w:hAnsi="Arial" w:cs="Arial"/>
        </w:rPr>
        <w:t xml:space="preserve"> ser executados no Museu Paraense Emilio Goeldi, em Belém, ou no Instituto de Nacional de Pesquisas do Pantanal (INPP),</w:t>
      </w:r>
      <w:r w:rsidR="00AA4E64">
        <w:rPr>
          <w:rFonts w:ascii="Arial" w:hAnsi="Arial" w:cs="Arial"/>
        </w:rPr>
        <w:t xml:space="preserve"> em Cuiabá,</w:t>
      </w:r>
      <w:r w:rsidR="008E2BBC" w:rsidRPr="006568AC">
        <w:rPr>
          <w:rFonts w:ascii="Arial" w:hAnsi="Arial" w:cs="Arial"/>
        </w:rPr>
        <w:t xml:space="preserve"> quando </w:t>
      </w:r>
      <w:r w:rsidR="00D83618">
        <w:rPr>
          <w:rFonts w:ascii="Arial" w:hAnsi="Arial" w:cs="Arial"/>
        </w:rPr>
        <w:t xml:space="preserve">assim </w:t>
      </w:r>
      <w:r w:rsidR="008E2BBC" w:rsidRPr="006568AC">
        <w:rPr>
          <w:rFonts w:ascii="Arial" w:hAnsi="Arial" w:cs="Arial"/>
        </w:rPr>
        <w:t xml:space="preserve">discriminado na descrição da vaga; </w:t>
      </w:r>
    </w:p>
    <w:p w14:paraId="32C398BD" w14:textId="3EE2867F" w:rsidR="00DE7483" w:rsidRPr="0014065D" w:rsidRDefault="00DE7483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14065D">
        <w:rPr>
          <w:rFonts w:ascii="Arial" w:hAnsi="Arial" w:cs="Arial"/>
        </w:rPr>
        <w:t xml:space="preserve">4.2.1.1. </w:t>
      </w:r>
      <w:r w:rsidRPr="003A2CF5">
        <w:rPr>
          <w:rFonts w:ascii="Arial" w:hAnsi="Arial" w:cs="Arial"/>
          <w:bCs/>
        </w:rPr>
        <w:t>Na</w:t>
      </w:r>
      <w:r w:rsidRPr="0014065D">
        <w:rPr>
          <w:rFonts w:ascii="Arial" w:hAnsi="Arial" w:cs="Arial"/>
          <w:b/>
        </w:rPr>
        <w:t xml:space="preserve"> </w:t>
      </w:r>
      <w:r w:rsidRPr="0014065D">
        <w:rPr>
          <w:rFonts w:ascii="Arial" w:hAnsi="Arial" w:cs="Arial"/>
        </w:rPr>
        <w:t>hipótese dos projetos executados no Instituto de Nacional de Pesquisas do Pantanal (INPP), o bolsista ficará sediado na cidade de Cuiabá-MT.</w:t>
      </w:r>
      <w:r w:rsidR="006843C7">
        <w:rPr>
          <w:rFonts w:ascii="Arial" w:hAnsi="Arial" w:cs="Arial"/>
        </w:rPr>
        <w:t xml:space="preserve"> </w:t>
      </w:r>
    </w:p>
    <w:p w14:paraId="7BC4B6AC" w14:textId="69A83B02" w:rsidR="001B44FB" w:rsidRDefault="001B44FB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1B44FB">
        <w:rPr>
          <w:rFonts w:ascii="Arial" w:hAnsi="Arial" w:cs="Arial"/>
          <w:b/>
          <w:bCs/>
        </w:rPr>
        <w:t>4.2.2.</w:t>
      </w:r>
      <w:r>
        <w:rPr>
          <w:rFonts w:ascii="Arial" w:hAnsi="Arial" w:cs="Arial"/>
        </w:rPr>
        <w:t xml:space="preserve"> O</w:t>
      </w:r>
      <w:r w:rsidR="008E2BBC" w:rsidRPr="006568AC">
        <w:rPr>
          <w:rFonts w:ascii="Arial" w:hAnsi="Arial" w:cs="Arial"/>
        </w:rPr>
        <w:t xml:space="preserve">s projetos referentes à área de </w:t>
      </w:r>
      <w:r w:rsidR="00E33E72">
        <w:rPr>
          <w:rFonts w:ascii="Arial" w:hAnsi="Arial" w:cs="Arial"/>
        </w:rPr>
        <w:t>a</w:t>
      </w:r>
      <w:r w:rsidR="00E33E72" w:rsidRPr="006568AC">
        <w:rPr>
          <w:rFonts w:ascii="Arial" w:hAnsi="Arial" w:cs="Arial"/>
        </w:rPr>
        <w:t xml:space="preserve">tuação </w:t>
      </w:r>
      <w:r w:rsidR="008E2BBC" w:rsidRPr="006568AC">
        <w:rPr>
          <w:rFonts w:ascii="Arial" w:hAnsi="Arial" w:cs="Arial"/>
        </w:rPr>
        <w:t xml:space="preserve">3 poderão ser executados no Museu Goeldi (Belém), no Instituto </w:t>
      </w:r>
      <w:proofErr w:type="spellStart"/>
      <w:r w:rsidR="008E2BBC" w:rsidRPr="006568AC">
        <w:rPr>
          <w:rFonts w:ascii="Arial" w:hAnsi="Arial" w:cs="Arial"/>
        </w:rPr>
        <w:t>Mamirauá</w:t>
      </w:r>
      <w:proofErr w:type="spellEnd"/>
      <w:r w:rsidR="008E2BBC" w:rsidRPr="006568AC">
        <w:rPr>
          <w:rFonts w:ascii="Arial" w:hAnsi="Arial" w:cs="Arial"/>
        </w:rPr>
        <w:t xml:space="preserve"> (Tefé), no </w:t>
      </w:r>
      <w:r w:rsidR="00F005CD" w:rsidRPr="00F005CD">
        <w:rPr>
          <w:rFonts w:ascii="Arial" w:hAnsi="Arial" w:cs="Arial"/>
        </w:rPr>
        <w:t xml:space="preserve">Instituto Nacional de Pesquisa </w:t>
      </w:r>
      <w:r w:rsidR="00F005CD">
        <w:rPr>
          <w:rFonts w:ascii="Arial" w:hAnsi="Arial" w:cs="Arial"/>
        </w:rPr>
        <w:t xml:space="preserve">- </w:t>
      </w:r>
      <w:r w:rsidR="008E2BBC" w:rsidRPr="006568AC">
        <w:rPr>
          <w:rFonts w:ascii="Arial" w:hAnsi="Arial" w:cs="Arial"/>
        </w:rPr>
        <w:t xml:space="preserve">INPA (Manaus) ou no </w:t>
      </w:r>
      <w:r w:rsidR="00891CA1" w:rsidRPr="00891CA1">
        <w:rPr>
          <w:rFonts w:ascii="Arial" w:hAnsi="Arial" w:cs="Arial"/>
        </w:rPr>
        <w:t xml:space="preserve">Instituto Nacional de Pesquisas Espaciais </w:t>
      </w:r>
      <w:r w:rsidR="00891CA1">
        <w:rPr>
          <w:rFonts w:ascii="Arial" w:hAnsi="Arial" w:cs="Arial"/>
        </w:rPr>
        <w:t xml:space="preserve">- </w:t>
      </w:r>
      <w:r w:rsidR="008E2BBC" w:rsidRPr="006568AC">
        <w:rPr>
          <w:rFonts w:ascii="Arial" w:hAnsi="Arial" w:cs="Arial"/>
        </w:rPr>
        <w:t>INPE (São José dos Campos)</w:t>
      </w:r>
      <w:r w:rsidR="00AA4E64">
        <w:rPr>
          <w:rFonts w:ascii="Arial" w:hAnsi="Arial" w:cs="Arial"/>
        </w:rPr>
        <w:t>, dependendo da classificação dos candidatos</w:t>
      </w:r>
      <w:r w:rsidR="008E2BBC" w:rsidRPr="006568AC">
        <w:rPr>
          <w:rFonts w:ascii="Arial" w:hAnsi="Arial" w:cs="Arial"/>
        </w:rPr>
        <w:t xml:space="preserve">. </w:t>
      </w:r>
    </w:p>
    <w:p w14:paraId="5DABD306" w14:textId="29235D3C" w:rsidR="00DE7483" w:rsidRDefault="00DE7483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4065D">
        <w:rPr>
          <w:rFonts w:ascii="Arial" w:hAnsi="Arial" w:cs="Arial"/>
        </w:rPr>
        <w:t xml:space="preserve">4.2.2.1. Na hipótese dos projetos executados no Instituto </w:t>
      </w:r>
      <w:proofErr w:type="spellStart"/>
      <w:r w:rsidRPr="0014065D">
        <w:rPr>
          <w:rFonts w:ascii="Arial" w:hAnsi="Arial" w:cs="Arial"/>
        </w:rPr>
        <w:t>Mamirauá</w:t>
      </w:r>
      <w:proofErr w:type="spellEnd"/>
      <w:r w:rsidRPr="0014065D">
        <w:rPr>
          <w:rFonts w:ascii="Arial" w:hAnsi="Arial" w:cs="Arial"/>
        </w:rPr>
        <w:t xml:space="preserve">, no </w:t>
      </w:r>
      <w:r w:rsidR="003D3445" w:rsidRPr="00DE70A6">
        <w:rPr>
          <w:rFonts w:ascii="Arial" w:hAnsi="Arial" w:cs="Arial"/>
        </w:rPr>
        <w:t>Instituto Nacional de Pesquisa</w:t>
      </w:r>
      <w:r w:rsidR="0014065D" w:rsidRPr="00DE70A6">
        <w:rPr>
          <w:rFonts w:ascii="Arial" w:hAnsi="Arial" w:cs="Arial"/>
        </w:rPr>
        <w:t>s da Amazônia</w:t>
      </w:r>
      <w:r w:rsidR="003D3445" w:rsidRPr="00DE70A6">
        <w:rPr>
          <w:rFonts w:ascii="Arial" w:hAnsi="Arial" w:cs="Arial"/>
        </w:rPr>
        <w:t xml:space="preserve"> -</w:t>
      </w:r>
      <w:r w:rsidR="00C915C8" w:rsidRPr="00DE70A6">
        <w:rPr>
          <w:rFonts w:ascii="Arial" w:hAnsi="Arial" w:cs="Arial"/>
        </w:rPr>
        <w:t xml:space="preserve"> </w:t>
      </w:r>
      <w:r w:rsidRPr="00DE70A6">
        <w:rPr>
          <w:rFonts w:ascii="Arial" w:hAnsi="Arial" w:cs="Arial"/>
        </w:rPr>
        <w:t xml:space="preserve">INPA, ou no </w:t>
      </w:r>
      <w:r w:rsidR="003D3445" w:rsidRPr="00DE70A6">
        <w:rPr>
          <w:rFonts w:ascii="Arial" w:hAnsi="Arial" w:cs="Arial"/>
        </w:rPr>
        <w:t xml:space="preserve">Instituto Nacional de Pesquisas Espaciais - </w:t>
      </w:r>
      <w:r w:rsidRPr="00DE70A6">
        <w:rPr>
          <w:rFonts w:ascii="Arial" w:hAnsi="Arial" w:cs="Arial"/>
        </w:rPr>
        <w:t>INPE, os bolsistas</w:t>
      </w:r>
      <w:r w:rsidR="003D3445" w:rsidRPr="00DE70A6">
        <w:rPr>
          <w:rFonts w:ascii="Arial" w:hAnsi="Arial" w:cs="Arial"/>
        </w:rPr>
        <w:t xml:space="preserve"> ficar</w:t>
      </w:r>
      <w:r w:rsidR="006843C7" w:rsidRPr="00DE70A6">
        <w:rPr>
          <w:rFonts w:ascii="Arial" w:hAnsi="Arial" w:cs="Arial"/>
        </w:rPr>
        <w:t xml:space="preserve">ão </w:t>
      </w:r>
      <w:r w:rsidRPr="00DE70A6">
        <w:rPr>
          <w:rFonts w:ascii="Arial" w:hAnsi="Arial" w:cs="Arial"/>
        </w:rPr>
        <w:t xml:space="preserve">sediados </w:t>
      </w:r>
      <w:r w:rsidR="0014065D" w:rsidRPr="00DE70A6">
        <w:rPr>
          <w:rFonts w:ascii="Arial" w:hAnsi="Arial" w:cs="Arial"/>
        </w:rPr>
        <w:t xml:space="preserve">respectivamente </w:t>
      </w:r>
      <w:r w:rsidRPr="00DE70A6">
        <w:rPr>
          <w:rFonts w:ascii="Arial" w:hAnsi="Arial" w:cs="Arial"/>
        </w:rPr>
        <w:t xml:space="preserve">em Tefé (AM), Manaus (AM) e São José dos Campos (SP), </w:t>
      </w:r>
      <w:r w:rsidR="003D3445" w:rsidRPr="00DE70A6">
        <w:rPr>
          <w:rFonts w:ascii="Arial" w:hAnsi="Arial" w:cs="Arial"/>
        </w:rPr>
        <w:t>de acordo com o projeto a ser executado</w:t>
      </w:r>
      <w:r w:rsidR="00DE70A6">
        <w:rPr>
          <w:rFonts w:ascii="Arial" w:hAnsi="Arial" w:cs="Arial"/>
        </w:rPr>
        <w:t>.</w:t>
      </w:r>
    </w:p>
    <w:p w14:paraId="3F595905" w14:textId="7ABFE87E" w:rsidR="008E2BBC" w:rsidRDefault="001B44FB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6568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Pr="006568AC">
        <w:rPr>
          <w:rFonts w:ascii="Arial" w:hAnsi="Arial" w:cs="Arial"/>
          <w:b/>
          <w:bCs/>
        </w:rPr>
        <w:t>.</w:t>
      </w:r>
      <w:r w:rsidR="001C28F5">
        <w:rPr>
          <w:rFonts w:ascii="Arial" w:hAnsi="Arial" w:cs="Arial"/>
          <w:b/>
          <w:bCs/>
        </w:rPr>
        <w:t>3</w:t>
      </w:r>
      <w:r w:rsidRPr="006568AC">
        <w:rPr>
          <w:rFonts w:ascii="Arial" w:hAnsi="Arial" w:cs="Arial"/>
          <w:b/>
          <w:bCs/>
        </w:rPr>
        <w:t xml:space="preserve">. </w:t>
      </w:r>
      <w:r w:rsidR="008E2BBC" w:rsidRPr="006568AC">
        <w:rPr>
          <w:rFonts w:ascii="Arial" w:hAnsi="Arial" w:cs="Arial"/>
        </w:rPr>
        <w:t xml:space="preserve">Os projetos referentes à área de atuação 4 só poderão ser executados </w:t>
      </w:r>
      <w:r w:rsidR="007F14F7">
        <w:rPr>
          <w:rFonts w:ascii="Arial" w:hAnsi="Arial" w:cs="Arial"/>
        </w:rPr>
        <w:t xml:space="preserve">no </w:t>
      </w:r>
      <w:r w:rsidR="008E2BBC" w:rsidRPr="006568AC">
        <w:rPr>
          <w:rFonts w:ascii="Arial" w:hAnsi="Arial" w:cs="Arial"/>
        </w:rPr>
        <w:t>Museu Paraense Em</w:t>
      </w:r>
      <w:r w:rsidR="00DE7483">
        <w:rPr>
          <w:rFonts w:ascii="Arial" w:hAnsi="Arial" w:cs="Arial"/>
        </w:rPr>
        <w:t>í</w:t>
      </w:r>
      <w:r w:rsidR="008E2BBC" w:rsidRPr="006568AC">
        <w:rPr>
          <w:rFonts w:ascii="Arial" w:hAnsi="Arial" w:cs="Arial"/>
        </w:rPr>
        <w:t>lio Goeldi, em Belém.</w:t>
      </w:r>
    </w:p>
    <w:p w14:paraId="61F69638" w14:textId="094E97C5" w:rsidR="006843C7" w:rsidRPr="006568AC" w:rsidRDefault="001C28F5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DE70A6">
        <w:rPr>
          <w:rFonts w:ascii="Arial" w:hAnsi="Arial" w:cs="Arial"/>
          <w:b/>
        </w:rPr>
        <w:t>4.2.4</w:t>
      </w:r>
      <w:r w:rsidRPr="00DE70A6">
        <w:rPr>
          <w:rFonts w:ascii="Arial" w:hAnsi="Arial" w:cs="Arial"/>
        </w:rPr>
        <w:t>. Em nenhuma das hipóteses previstas nos itens 4.2.1, 4.2.2 e 4.2.3, as Instituições executoras dos projetos arcarão com despesas além da prevista no item 6.1.1 desta Chamada</w:t>
      </w:r>
      <w:r>
        <w:rPr>
          <w:rFonts w:ascii="Arial" w:hAnsi="Arial" w:cs="Arial"/>
        </w:rPr>
        <w:t xml:space="preserve">. </w:t>
      </w:r>
    </w:p>
    <w:p w14:paraId="29034419" w14:textId="34405165" w:rsidR="006568AC" w:rsidRPr="006568AC" w:rsidRDefault="006568AC" w:rsidP="006568A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568AC">
        <w:rPr>
          <w:rFonts w:ascii="Arial" w:hAnsi="Arial" w:cs="Arial"/>
          <w:b/>
          <w:bCs/>
          <w:color w:val="000000"/>
        </w:rPr>
        <w:t xml:space="preserve">5. </w:t>
      </w:r>
      <w:r w:rsidR="00352B0A">
        <w:rPr>
          <w:rFonts w:ascii="Arial" w:hAnsi="Arial" w:cs="Arial"/>
          <w:b/>
          <w:bCs/>
          <w:color w:val="000000"/>
        </w:rPr>
        <w:t>RECURSOS FINANCEIROS</w:t>
      </w:r>
      <w:r w:rsidRPr="006568AC">
        <w:rPr>
          <w:rFonts w:ascii="Arial" w:hAnsi="Arial" w:cs="Arial"/>
          <w:b/>
          <w:bCs/>
          <w:color w:val="000000"/>
        </w:rPr>
        <w:t xml:space="preserve"> </w:t>
      </w:r>
    </w:p>
    <w:p w14:paraId="60328915" w14:textId="3CA184D6" w:rsidR="006568AC" w:rsidRDefault="006568AC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1B44FB">
        <w:rPr>
          <w:rFonts w:ascii="Arial" w:hAnsi="Arial" w:cs="Arial"/>
        </w:rPr>
        <w:t xml:space="preserve">As bolsas serão operacionalizadas pelo Conselho Nacional de Desenvolvimento Científico e Tecnológico - CNPq e financiadas com recursos oriundos do orçamento do Ministério da Ciência Tecnologia </w:t>
      </w:r>
      <w:r w:rsidR="007F14F7">
        <w:rPr>
          <w:rFonts w:ascii="Arial" w:hAnsi="Arial" w:cs="Arial"/>
        </w:rPr>
        <w:t>e</w:t>
      </w:r>
      <w:r w:rsidRPr="001B44FB">
        <w:rPr>
          <w:rFonts w:ascii="Arial" w:hAnsi="Arial" w:cs="Arial"/>
        </w:rPr>
        <w:t xml:space="preserve"> Inovações – MCTI</w:t>
      </w:r>
      <w:r w:rsidR="00DE70A6">
        <w:rPr>
          <w:rFonts w:ascii="Arial" w:hAnsi="Arial" w:cs="Arial"/>
        </w:rPr>
        <w:t xml:space="preserve">, do CNPq ou do FNDCT, conforme </w:t>
      </w:r>
      <w:r w:rsidR="00310ECE">
        <w:rPr>
          <w:rFonts w:ascii="Arial" w:hAnsi="Arial" w:cs="Arial"/>
        </w:rPr>
        <w:t>Portaria MCTI 4.849, de 28 de maio de 2021.</w:t>
      </w:r>
    </w:p>
    <w:p w14:paraId="486DA7AD" w14:textId="57EB5521" w:rsidR="00352B0A" w:rsidRPr="006568AC" w:rsidRDefault="00352B0A" w:rsidP="00352B0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6568AC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ITENS FINANCIÁVEIS</w:t>
      </w:r>
      <w:r w:rsidRPr="006568AC">
        <w:rPr>
          <w:rFonts w:ascii="Arial" w:hAnsi="Arial" w:cs="Arial"/>
          <w:b/>
          <w:bCs/>
          <w:color w:val="000000"/>
        </w:rPr>
        <w:t xml:space="preserve"> </w:t>
      </w:r>
    </w:p>
    <w:p w14:paraId="4D5DEC24" w14:textId="77777777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 Bolsas </w:t>
      </w:r>
    </w:p>
    <w:p w14:paraId="3C94A27B" w14:textId="3CD38216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>6.1.1. Os recursos da presente chamada serão destinados ao financiamento de bolsas na modalidade PCI</w:t>
      </w:r>
      <w:r>
        <w:rPr>
          <w:rFonts w:ascii="Arial" w:hAnsi="Arial" w:cs="Arial"/>
        </w:rPr>
        <w:t>-D</w:t>
      </w:r>
      <w:r w:rsidRPr="00352B0A">
        <w:rPr>
          <w:rFonts w:ascii="Arial" w:hAnsi="Arial" w:cs="Arial"/>
        </w:rPr>
        <w:t>, em suas diferentes categorias e níveis: DA, DB, DC, DD</w:t>
      </w:r>
      <w:r>
        <w:rPr>
          <w:rFonts w:ascii="Arial" w:hAnsi="Arial" w:cs="Arial"/>
        </w:rPr>
        <w:t>, E1 ou E2</w:t>
      </w:r>
      <w:r w:rsidR="00E33E72">
        <w:rPr>
          <w:rFonts w:ascii="Arial" w:hAnsi="Arial" w:cs="Arial"/>
        </w:rPr>
        <w:t>, conforme descrito nos perfis do ANEXO 1</w:t>
      </w:r>
      <w:r>
        <w:rPr>
          <w:rFonts w:ascii="Arial" w:hAnsi="Arial" w:cs="Arial"/>
        </w:rPr>
        <w:t>.</w:t>
      </w:r>
      <w:r w:rsidRPr="00352B0A">
        <w:rPr>
          <w:rFonts w:ascii="Arial" w:hAnsi="Arial" w:cs="Arial"/>
        </w:rPr>
        <w:t xml:space="preserve"> </w:t>
      </w:r>
    </w:p>
    <w:p w14:paraId="2D2A1809" w14:textId="77777777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6.1.2. A implementação das bolsas deverá ser realizada dentro dos prazos e critérios estipulados para cada uma dessas modalidades, conforme estabelecido nas normas do CNPq que regem essa modalidade. </w:t>
      </w:r>
    </w:p>
    <w:p w14:paraId="42E8D275" w14:textId="77777777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6.1.3. A duração das bolsas não poderá ultrapassar o prazo de execução do projeto. </w:t>
      </w:r>
    </w:p>
    <w:p w14:paraId="78DEAD64" w14:textId="77777777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6.1.4. As bolsas não poderão ser utilizadas para pagamento de prestação de serviços, uma vez que tal utilização estaria em desacordo com a finalidade das bolsas do CNPq. </w:t>
      </w:r>
    </w:p>
    <w:p w14:paraId="61C3970B" w14:textId="50D34B99" w:rsidR="00352B0A" w:rsidRPr="00352B0A" w:rsidRDefault="00352B0A" w:rsidP="000965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352B0A">
        <w:rPr>
          <w:rFonts w:ascii="Arial" w:hAnsi="Arial" w:cs="Arial"/>
          <w:b/>
          <w:bCs/>
          <w:color w:val="000000"/>
        </w:rPr>
        <w:t xml:space="preserve">7. </w:t>
      </w:r>
      <w:r w:rsidRPr="00AA4E64">
        <w:rPr>
          <w:rFonts w:ascii="Arial" w:hAnsi="Arial" w:cs="Arial"/>
          <w:b/>
          <w:bCs/>
          <w:color w:val="000000"/>
        </w:rPr>
        <w:t>SUBMISSÃO DA PROPOSTA</w:t>
      </w:r>
      <w:r w:rsidRPr="00352B0A">
        <w:rPr>
          <w:rFonts w:ascii="Arial" w:hAnsi="Arial" w:cs="Arial"/>
          <w:b/>
          <w:bCs/>
          <w:color w:val="000000"/>
        </w:rPr>
        <w:t xml:space="preserve"> </w:t>
      </w:r>
    </w:p>
    <w:p w14:paraId="46FE5F2D" w14:textId="1B71E86D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7.1. As propostas deverão ser encaminhadas ao </w:t>
      </w:r>
      <w:r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exclusivamente via e-mail (</w:t>
      </w:r>
      <w:r w:rsidR="00DE70A6" w:rsidRPr="00DE70A6">
        <w:rPr>
          <w:rFonts w:ascii="Arial" w:hAnsi="Arial" w:cs="Arial"/>
          <w:b/>
          <w:bCs/>
        </w:rPr>
        <w:t>bolsas_</w:t>
      </w:r>
      <w:r w:rsidRPr="00352B0A">
        <w:rPr>
          <w:rFonts w:ascii="Arial" w:hAnsi="Arial" w:cs="Arial"/>
          <w:b/>
          <w:bCs/>
        </w:rPr>
        <w:t>pci@</w:t>
      </w:r>
      <w:r w:rsidR="007F14F7">
        <w:rPr>
          <w:rFonts w:ascii="Arial" w:hAnsi="Arial" w:cs="Arial"/>
          <w:b/>
          <w:bCs/>
        </w:rPr>
        <w:t>museu-goeldi</w:t>
      </w:r>
      <w:r w:rsidRPr="00AA4E64">
        <w:rPr>
          <w:rFonts w:ascii="Arial" w:hAnsi="Arial" w:cs="Arial"/>
          <w:b/>
          <w:bCs/>
        </w:rPr>
        <w:t>.br</w:t>
      </w:r>
      <w:r w:rsidRPr="00352B0A">
        <w:rPr>
          <w:rFonts w:ascii="Arial" w:hAnsi="Arial" w:cs="Arial"/>
        </w:rPr>
        <w:t>), utilizando-se o Formulário de Proposta</w:t>
      </w:r>
      <w:r w:rsidR="009E4A04">
        <w:rPr>
          <w:rFonts w:ascii="Arial" w:hAnsi="Arial" w:cs="Arial"/>
        </w:rPr>
        <w:t xml:space="preserve"> e o Formulário de Produção</w:t>
      </w:r>
      <w:r w:rsidRPr="00352B0A">
        <w:rPr>
          <w:rFonts w:ascii="Arial" w:hAnsi="Arial" w:cs="Arial"/>
        </w:rPr>
        <w:t xml:space="preserve">. </w:t>
      </w:r>
    </w:p>
    <w:p w14:paraId="5CAA401C" w14:textId="77777777" w:rsidR="00AA4E64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lastRenderedPageBreak/>
        <w:t xml:space="preserve">7.2. O horário limite para submissão das propostas ao </w:t>
      </w:r>
      <w:r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será até às 23h59 (vinte e três horas e cinquenta e nove minutos), horário de Brasília, da data descrita no CRONOGRAMA, não sendo aceitas propostas submetidas após este horário. </w:t>
      </w:r>
    </w:p>
    <w:p w14:paraId="27961605" w14:textId="703AC33F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7.2.1. Recomenda-se o envio das propostas com antecedência, uma vez que o </w:t>
      </w:r>
      <w:r w:rsidR="00AA4E64"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não se responsabilizará por aquelas não recebidas em decorrência de eventuais problemas técnicos e de congestionamentos. </w:t>
      </w:r>
    </w:p>
    <w:p w14:paraId="43D77B08" w14:textId="77777777" w:rsidR="00352B0A" w:rsidRPr="00352B0A" w:rsidRDefault="00352B0A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7.2.2. Caso a proposta seja enviada fora do prazo de submissão, ela não será aceita, razão pela qual não haverá possibilidade da proposta ser acolhida, analisada e julgada. </w:t>
      </w:r>
    </w:p>
    <w:p w14:paraId="51B8306C" w14:textId="62605747" w:rsidR="00AA4E64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>7.3. Esclarecimentos e informações adicionais acerca desta Chamada podem ser obtidos pelo endereço eletrônico (</w:t>
      </w:r>
      <w:r w:rsidR="00265F89" w:rsidRPr="00265F89">
        <w:rPr>
          <w:rFonts w:ascii="Arial" w:hAnsi="Arial" w:cs="Arial"/>
          <w:b/>
          <w:bCs/>
        </w:rPr>
        <w:t>bolsas</w:t>
      </w:r>
      <w:r w:rsidR="00265F89">
        <w:rPr>
          <w:rFonts w:ascii="Arial" w:hAnsi="Arial" w:cs="Arial"/>
        </w:rPr>
        <w:t>_</w:t>
      </w:r>
      <w:r w:rsidRPr="00352B0A">
        <w:rPr>
          <w:rFonts w:ascii="Arial" w:hAnsi="Arial" w:cs="Arial"/>
          <w:b/>
          <w:bCs/>
        </w:rPr>
        <w:t>pci@</w:t>
      </w:r>
      <w:r w:rsidR="00AA4E64" w:rsidRPr="00AA4E64">
        <w:rPr>
          <w:rFonts w:ascii="Arial" w:hAnsi="Arial" w:cs="Arial"/>
          <w:b/>
          <w:bCs/>
        </w:rPr>
        <w:t>museu-goeldi.br</w:t>
      </w:r>
      <w:r w:rsidRPr="00352B0A">
        <w:rPr>
          <w:rFonts w:ascii="Arial" w:hAnsi="Arial" w:cs="Arial"/>
        </w:rPr>
        <w:t xml:space="preserve">). </w:t>
      </w:r>
    </w:p>
    <w:p w14:paraId="2657A58C" w14:textId="1F27B785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7.3.1. O atendimento encerra-se impreterivelmente às 17h, em dias úteis, e esse fato não será aceito como justificativa para envio posterior à data limite. </w:t>
      </w:r>
    </w:p>
    <w:p w14:paraId="0B76C46E" w14:textId="54E722FE" w:rsidR="00352B0A" w:rsidRPr="00352B0A" w:rsidRDefault="00352B0A" w:rsidP="00352B0A">
      <w:pPr>
        <w:spacing w:before="120" w:after="120" w:line="360" w:lineRule="auto"/>
        <w:rPr>
          <w:rFonts w:ascii="Arial" w:hAnsi="Arial" w:cs="Arial"/>
        </w:rPr>
      </w:pPr>
      <w:r w:rsidRPr="00352B0A">
        <w:rPr>
          <w:rFonts w:ascii="Arial" w:hAnsi="Arial" w:cs="Arial"/>
        </w:rPr>
        <w:t xml:space="preserve">7.3.2. É de responsabilidade do proponente entrar em contato com o </w:t>
      </w:r>
      <w:r w:rsidR="00AA4E64">
        <w:rPr>
          <w:rFonts w:ascii="Arial" w:hAnsi="Arial" w:cs="Arial"/>
        </w:rPr>
        <w:t>MPEG</w:t>
      </w:r>
      <w:r w:rsidRPr="00352B0A">
        <w:rPr>
          <w:rFonts w:ascii="Arial" w:hAnsi="Arial" w:cs="Arial"/>
        </w:rPr>
        <w:t xml:space="preserve"> em tempo hábil para obter informações ou esclarecimentos. </w:t>
      </w:r>
    </w:p>
    <w:p w14:paraId="7E2EB4E1" w14:textId="511AF592" w:rsidR="00AA4E64" w:rsidRPr="00AA4E64" w:rsidRDefault="00352B0A" w:rsidP="00AA4E64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352B0A">
        <w:rPr>
          <w:color w:val="auto"/>
          <w:sz w:val="22"/>
          <w:szCs w:val="22"/>
        </w:rPr>
        <w:t xml:space="preserve">7.4. </w:t>
      </w:r>
      <w:r w:rsidR="00AA4E64">
        <w:rPr>
          <w:color w:val="auto"/>
          <w:sz w:val="22"/>
          <w:szCs w:val="22"/>
        </w:rPr>
        <w:t>Os documentos, que incluem o</w:t>
      </w:r>
      <w:r w:rsidRPr="00352B0A">
        <w:rPr>
          <w:color w:val="auto"/>
          <w:sz w:val="22"/>
          <w:szCs w:val="22"/>
        </w:rPr>
        <w:t xml:space="preserve"> Formulário de Propostas preenchido, </w:t>
      </w:r>
      <w:r w:rsidR="00AA4E64">
        <w:rPr>
          <w:color w:val="auto"/>
          <w:sz w:val="22"/>
          <w:szCs w:val="22"/>
        </w:rPr>
        <w:t>contendo o link para o</w:t>
      </w:r>
      <w:r w:rsidRPr="00352B0A">
        <w:rPr>
          <w:color w:val="auto"/>
          <w:sz w:val="22"/>
          <w:szCs w:val="22"/>
        </w:rPr>
        <w:t xml:space="preserve"> Currículo Lattes </w:t>
      </w:r>
      <w:r w:rsidRPr="00352B0A">
        <w:rPr>
          <w:b/>
          <w:bCs/>
          <w:color w:val="auto"/>
          <w:sz w:val="22"/>
          <w:szCs w:val="22"/>
        </w:rPr>
        <w:t>atualizado</w:t>
      </w:r>
      <w:r w:rsidR="00AA4E64" w:rsidRPr="00AA4E64">
        <w:rPr>
          <w:b/>
          <w:bCs/>
          <w:color w:val="auto"/>
          <w:sz w:val="22"/>
          <w:szCs w:val="22"/>
        </w:rPr>
        <w:t xml:space="preserve"> em 202</w:t>
      </w:r>
      <w:r w:rsidR="00265F89">
        <w:rPr>
          <w:b/>
          <w:bCs/>
          <w:color w:val="auto"/>
          <w:sz w:val="22"/>
          <w:szCs w:val="22"/>
        </w:rPr>
        <w:t>1</w:t>
      </w:r>
      <w:r w:rsidRPr="00352B0A">
        <w:rPr>
          <w:color w:val="auto"/>
          <w:sz w:val="22"/>
          <w:szCs w:val="22"/>
        </w:rPr>
        <w:t xml:space="preserve">, </w:t>
      </w:r>
      <w:r w:rsidR="00AA4E64">
        <w:rPr>
          <w:color w:val="auto"/>
          <w:sz w:val="22"/>
          <w:szCs w:val="22"/>
        </w:rPr>
        <w:t>e o formulário de avaliação da produção do Candidato</w:t>
      </w:r>
      <w:r w:rsidR="00D4443B">
        <w:rPr>
          <w:color w:val="auto"/>
          <w:sz w:val="22"/>
          <w:szCs w:val="22"/>
        </w:rPr>
        <w:t>,</w:t>
      </w:r>
      <w:r w:rsidR="00AA4E64">
        <w:rPr>
          <w:color w:val="auto"/>
          <w:sz w:val="22"/>
          <w:szCs w:val="22"/>
        </w:rPr>
        <w:t xml:space="preserve"> </w:t>
      </w:r>
      <w:r w:rsidR="00AA4E64" w:rsidRPr="00AA4E64">
        <w:rPr>
          <w:color w:val="auto"/>
          <w:sz w:val="22"/>
          <w:szCs w:val="22"/>
        </w:rPr>
        <w:t>deverão ser enviados por e</w:t>
      </w:r>
      <w:r w:rsidR="00AA4E64">
        <w:rPr>
          <w:color w:val="auto"/>
          <w:sz w:val="22"/>
          <w:szCs w:val="22"/>
        </w:rPr>
        <w:t>-</w:t>
      </w:r>
      <w:r w:rsidR="00AA4E64" w:rsidRPr="00AA4E64">
        <w:rPr>
          <w:color w:val="auto"/>
          <w:sz w:val="22"/>
          <w:szCs w:val="22"/>
        </w:rPr>
        <w:t xml:space="preserve">mail até a data limite para submissão da proposta. </w:t>
      </w:r>
    </w:p>
    <w:p w14:paraId="60DE21DC" w14:textId="77777777" w:rsidR="00AA4E64" w:rsidRPr="00AA4E64" w:rsidRDefault="00AA4E64" w:rsidP="00AA4E6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A4E64">
        <w:rPr>
          <w:rFonts w:ascii="Arial" w:hAnsi="Arial" w:cs="Arial"/>
        </w:rPr>
        <w:t xml:space="preserve">7.5. Será aceita uma única proposta por proponente para cada um dos projetos listados no item 2. </w:t>
      </w:r>
    </w:p>
    <w:p w14:paraId="13E47098" w14:textId="77777777" w:rsidR="00542F67" w:rsidRDefault="00AA4E64" w:rsidP="00AA4E6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A4E64">
        <w:rPr>
          <w:rFonts w:ascii="Arial" w:hAnsi="Arial" w:cs="Arial"/>
        </w:rPr>
        <w:t>7.6. Na hipótese de envio de mais de uma proposta pelo mesmo proponente, para o mesmo projeto, será considerada para análise apenas a última proposta recebida.</w:t>
      </w:r>
    </w:p>
    <w:p w14:paraId="44C5EB15" w14:textId="79FB8F18" w:rsidR="00AA4E64" w:rsidRPr="00AA4E64" w:rsidRDefault="00542F67" w:rsidP="00AA4E6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7.7. As propostas deverão abranger o período de </w:t>
      </w:r>
      <w:r w:rsidRPr="00542F67">
        <w:rPr>
          <w:rFonts w:ascii="Arial" w:hAnsi="Arial" w:cs="Arial"/>
          <w:b/>
          <w:bCs/>
        </w:rPr>
        <w:t>setembro de 2021 a janeiro de 2022</w:t>
      </w:r>
      <w:r>
        <w:rPr>
          <w:rFonts w:ascii="Arial" w:hAnsi="Arial" w:cs="Arial"/>
        </w:rPr>
        <w:t>.</w:t>
      </w:r>
      <w:r w:rsidR="00AA4E64" w:rsidRPr="00AA4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renovação das bolsas a partir desse período dependerá da disponibilização de recursos para o Programa.</w:t>
      </w:r>
    </w:p>
    <w:p w14:paraId="0EBCC8AB" w14:textId="77777777" w:rsidR="000965F9" w:rsidRDefault="000965F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4F6046D" w14:textId="1165F034" w:rsidR="00AA4E64" w:rsidRPr="00AA4E64" w:rsidRDefault="00AA4E64" w:rsidP="00AA4E6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AA4E64">
        <w:rPr>
          <w:rFonts w:ascii="Arial" w:hAnsi="Arial" w:cs="Arial"/>
          <w:b/>
          <w:bCs/>
          <w:color w:val="000000"/>
        </w:rPr>
        <w:lastRenderedPageBreak/>
        <w:t xml:space="preserve">8. JULGAMENTO DAS PROPOSTAS </w:t>
      </w:r>
    </w:p>
    <w:p w14:paraId="1D14B68C" w14:textId="6DE0A071" w:rsidR="00AA4E64" w:rsidRPr="00AA4E64" w:rsidRDefault="00B230D4" w:rsidP="00AA4E6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4E64" w:rsidRPr="00AA4E64">
        <w:rPr>
          <w:rFonts w:ascii="Arial" w:hAnsi="Arial" w:cs="Arial"/>
        </w:rPr>
        <w:t xml:space="preserve">.1 Critérios do Julgamento </w:t>
      </w:r>
    </w:p>
    <w:p w14:paraId="786A9CA5" w14:textId="5D77F540" w:rsidR="00352B0A" w:rsidRPr="00352B0A" w:rsidRDefault="00B230D4" w:rsidP="00352B0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F25C1" w:rsidRPr="001F25C1">
        <w:rPr>
          <w:rFonts w:ascii="Arial" w:hAnsi="Arial" w:cs="Arial"/>
        </w:rPr>
        <w:t>.1.1 Os critérios para classificação das propostas quanto ao mérito técnico-científico são:</w:t>
      </w:r>
    </w:p>
    <w:tbl>
      <w:tblPr>
        <w:tblW w:w="94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252"/>
        <w:gridCol w:w="1559"/>
        <w:gridCol w:w="3084"/>
      </w:tblGrid>
      <w:tr w:rsidR="00AA4E64" w:rsidRPr="00AA4E64" w14:paraId="32C8F2E4" w14:textId="77777777" w:rsidTr="00AA4E64">
        <w:trPr>
          <w:trHeight w:val="107"/>
        </w:trPr>
        <w:tc>
          <w:tcPr>
            <w:tcW w:w="4781" w:type="dxa"/>
            <w:gridSpan w:val="2"/>
          </w:tcPr>
          <w:p w14:paraId="4C03A9BF" w14:textId="2CFF816E" w:rsidR="00AA4E64" w:rsidRPr="00AA4E64" w:rsidRDefault="00AA4E64" w:rsidP="001F2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 de análise e julgamento</w:t>
            </w:r>
          </w:p>
        </w:tc>
        <w:tc>
          <w:tcPr>
            <w:tcW w:w="1559" w:type="dxa"/>
          </w:tcPr>
          <w:p w14:paraId="4393D190" w14:textId="0287B44E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3084" w:type="dxa"/>
          </w:tcPr>
          <w:p w14:paraId="18DB5E9A" w14:textId="2B1CC2A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AA4E64" w:rsidRPr="00AA4E64" w14:paraId="604C2628" w14:textId="77777777" w:rsidTr="001F25C1">
        <w:trPr>
          <w:trHeight w:val="247"/>
        </w:trPr>
        <w:tc>
          <w:tcPr>
            <w:tcW w:w="529" w:type="dxa"/>
          </w:tcPr>
          <w:p w14:paraId="621AF077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252" w:type="dxa"/>
          </w:tcPr>
          <w:p w14:paraId="3E87E4B1" w14:textId="42A58D15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Mérito da Proposta (Comissão de Mérito)</w:t>
            </w:r>
          </w:p>
        </w:tc>
        <w:tc>
          <w:tcPr>
            <w:tcW w:w="1559" w:type="dxa"/>
          </w:tcPr>
          <w:p w14:paraId="7E5D1D82" w14:textId="1AD2FF9A" w:rsidR="00AA4E64" w:rsidRPr="00AA4E64" w:rsidRDefault="00AF675E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14:paraId="554201CE" w14:textId="0963F12A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442E91A8" w14:textId="77777777" w:rsidTr="001F25C1">
        <w:trPr>
          <w:trHeight w:val="109"/>
        </w:trPr>
        <w:tc>
          <w:tcPr>
            <w:tcW w:w="529" w:type="dxa"/>
          </w:tcPr>
          <w:p w14:paraId="6460C311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252" w:type="dxa"/>
          </w:tcPr>
          <w:p w14:paraId="6F284AA6" w14:textId="4A907A26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Produtividade do Candidato (</w:t>
            </w:r>
            <w:r w:rsidR="005A3770">
              <w:rPr>
                <w:rFonts w:ascii="Arial" w:hAnsi="Arial" w:cs="Arial"/>
                <w:color w:val="000000"/>
                <w:sz w:val="20"/>
                <w:szCs w:val="20"/>
              </w:rPr>
              <w:t>Formulário I</w:t>
            </w: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14:paraId="77C4BC96" w14:textId="0404ECE0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14:paraId="5183B11D" w14:textId="5A278BBB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16AA260E" w14:textId="77777777" w:rsidTr="001F25C1">
        <w:trPr>
          <w:trHeight w:val="109"/>
        </w:trPr>
        <w:tc>
          <w:tcPr>
            <w:tcW w:w="529" w:type="dxa"/>
          </w:tcPr>
          <w:p w14:paraId="4996B7FE" w14:textId="77777777" w:rsidR="00AA4E64" w:rsidRPr="00AA4E64" w:rsidRDefault="00AA4E64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4252" w:type="dxa"/>
          </w:tcPr>
          <w:p w14:paraId="361D5C92" w14:textId="43516217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Experiência prévia do candidato em projetos científicos, tecnológicos ou de inovação na área do projeto de pesquisa selecionado </w:t>
            </w:r>
          </w:p>
        </w:tc>
        <w:tc>
          <w:tcPr>
            <w:tcW w:w="1559" w:type="dxa"/>
          </w:tcPr>
          <w:p w14:paraId="1F7529F4" w14:textId="5D1228B9" w:rsidR="00AA4E64" w:rsidRPr="00AA4E64" w:rsidRDefault="00AF675E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14:paraId="6CD7321B" w14:textId="3A287CF8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  <w:tr w:rsidR="00AA4E64" w:rsidRPr="00AA4E64" w14:paraId="1A7ED5B6" w14:textId="77777777" w:rsidTr="001F25C1">
        <w:trPr>
          <w:trHeight w:val="109"/>
        </w:trPr>
        <w:tc>
          <w:tcPr>
            <w:tcW w:w="529" w:type="dxa"/>
          </w:tcPr>
          <w:p w14:paraId="4A6C6374" w14:textId="1E978E3F" w:rsidR="00AA4E64" w:rsidRPr="00AA4E64" w:rsidRDefault="00AF675E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252" w:type="dxa"/>
          </w:tcPr>
          <w:p w14:paraId="3B302857" w14:textId="258C30BC" w:rsidR="00AA4E64" w:rsidRPr="00AA4E64" w:rsidRDefault="005A3770" w:rsidP="00AA4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770">
              <w:rPr>
                <w:rFonts w:ascii="Arial" w:hAnsi="Arial" w:cs="Arial"/>
                <w:color w:val="000000"/>
                <w:sz w:val="20"/>
                <w:szCs w:val="20"/>
              </w:rPr>
              <w:t>Alinhamento do histórico acadêmico e profissional do proponente às competências e atividades exigidas à execução do projeto</w:t>
            </w:r>
            <w:r w:rsidR="00AA4E64" w:rsidRPr="00AA4E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1886B38" w14:textId="596E964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14:paraId="2986267A" w14:textId="7A11D645" w:rsidR="00AA4E64" w:rsidRPr="00AA4E64" w:rsidRDefault="00AA4E64" w:rsidP="005A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E64">
              <w:rPr>
                <w:rFonts w:ascii="Arial" w:hAnsi="Arial" w:cs="Arial"/>
                <w:color w:val="000000"/>
                <w:sz w:val="20"/>
                <w:szCs w:val="20"/>
              </w:rPr>
              <w:t>0,0 a 10</w:t>
            </w:r>
          </w:p>
        </w:tc>
      </w:tr>
    </w:tbl>
    <w:p w14:paraId="2D086D90" w14:textId="77777777" w:rsidR="00352B0A" w:rsidRPr="00352B0A" w:rsidRDefault="00352B0A" w:rsidP="0035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1A06D7" w14:textId="2F2F8B68" w:rsid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8.1.1.1. As informações relativas aos critérios de julgamento </w:t>
      </w:r>
      <w:r>
        <w:rPr>
          <w:rFonts w:ascii="Arial" w:hAnsi="Arial" w:cs="Arial"/>
        </w:rPr>
        <w:t xml:space="preserve">B, </w:t>
      </w:r>
      <w:r w:rsidRPr="005A3770">
        <w:rPr>
          <w:rFonts w:ascii="Arial" w:hAnsi="Arial" w:cs="Arial"/>
        </w:rPr>
        <w:t xml:space="preserve">e </w:t>
      </w:r>
      <w:r w:rsidR="00E33E72">
        <w:rPr>
          <w:rFonts w:ascii="Arial" w:hAnsi="Arial" w:cs="Arial"/>
        </w:rPr>
        <w:t>D</w:t>
      </w:r>
      <w:r>
        <w:rPr>
          <w:rFonts w:ascii="Arial" w:hAnsi="Arial" w:cs="Arial"/>
        </w:rPr>
        <w:t>,</w:t>
      </w:r>
      <w:r w:rsidRPr="005A3770">
        <w:rPr>
          <w:rFonts w:ascii="Arial" w:hAnsi="Arial" w:cs="Arial"/>
        </w:rPr>
        <w:t xml:space="preserve"> descritas acima, deverão constar no CV Lattes do proponente</w:t>
      </w:r>
      <w:r w:rsidR="00D83618">
        <w:rPr>
          <w:rFonts w:ascii="Arial" w:hAnsi="Arial" w:cs="Arial"/>
        </w:rPr>
        <w:t xml:space="preserve"> e no </w:t>
      </w:r>
      <w:r w:rsidR="009E4A04">
        <w:rPr>
          <w:rFonts w:ascii="Arial" w:hAnsi="Arial" w:cs="Arial"/>
        </w:rPr>
        <w:t>F</w:t>
      </w:r>
      <w:r w:rsidR="00D83618">
        <w:rPr>
          <w:rFonts w:ascii="Arial" w:hAnsi="Arial" w:cs="Arial"/>
        </w:rPr>
        <w:t>ormulário I</w:t>
      </w:r>
      <w:r w:rsidR="00AF675E">
        <w:rPr>
          <w:rFonts w:ascii="Arial" w:hAnsi="Arial" w:cs="Arial"/>
        </w:rPr>
        <w:t>.</w:t>
      </w:r>
    </w:p>
    <w:p w14:paraId="50374EFD" w14:textId="7B79419B" w:rsidR="00E33E72" w:rsidRDefault="00E33E72" w:rsidP="005A377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8.1.1.2. A pontuação referente ao critério C descrito acima será obtida da descrição da experiência feita pelo candidato no formulário de inscrição</w:t>
      </w:r>
    </w:p>
    <w:p w14:paraId="3308A137" w14:textId="70AB86B4" w:rsidR="008839FF" w:rsidRPr="005A3770" w:rsidRDefault="008839FF" w:rsidP="005A377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8.1.1.3. A pontuação referente ao mérito da proposta será obtida pelo projeto apresentado no formulário de inscrição.</w:t>
      </w:r>
    </w:p>
    <w:p w14:paraId="048551DB" w14:textId="77777777" w:rsidR="005A3770" w:rsidRP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8.1.2. Para estipulação das notas poderão ser utilizadas até duas casas decimais. </w:t>
      </w:r>
    </w:p>
    <w:p w14:paraId="09A1F9AE" w14:textId="77777777" w:rsidR="005A3770" w:rsidRPr="005A3770" w:rsidRDefault="005A3770" w:rsidP="005A3770">
      <w:pPr>
        <w:spacing w:before="120" w:after="120" w:line="360" w:lineRule="auto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8.1.3. A pontuação final de cada proposta será aferida pela média ponderada das notas atribuídas para cada item. </w:t>
      </w:r>
    </w:p>
    <w:p w14:paraId="111B1221" w14:textId="377B54D0" w:rsidR="005D4741" w:rsidRDefault="005A3770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A3770">
        <w:rPr>
          <w:rFonts w:ascii="Arial" w:hAnsi="Arial" w:cs="Arial"/>
        </w:rPr>
        <w:t xml:space="preserve">8.1.4. Em caso de empate, </w:t>
      </w:r>
      <w:r w:rsidR="005D4741">
        <w:rPr>
          <w:rFonts w:ascii="Arial" w:hAnsi="Arial" w:cs="Arial"/>
        </w:rPr>
        <w:t>os critérios a serem utilizados para definir a ordem final de</w:t>
      </w:r>
      <w:r w:rsidRPr="005A3770">
        <w:rPr>
          <w:rFonts w:ascii="Arial" w:hAnsi="Arial" w:cs="Arial"/>
        </w:rPr>
        <w:t xml:space="preserve"> </w:t>
      </w:r>
      <w:r w:rsidR="005D4741">
        <w:rPr>
          <w:rFonts w:ascii="Arial" w:hAnsi="Arial" w:cs="Arial"/>
        </w:rPr>
        <w:t>classificação s</w:t>
      </w:r>
      <w:r w:rsidR="005D4741" w:rsidRPr="005A3770">
        <w:rPr>
          <w:rFonts w:ascii="Arial" w:hAnsi="Arial" w:cs="Arial"/>
        </w:rPr>
        <w:t>er</w:t>
      </w:r>
      <w:r w:rsidR="005D4741">
        <w:rPr>
          <w:rFonts w:ascii="Arial" w:hAnsi="Arial" w:cs="Arial"/>
        </w:rPr>
        <w:t xml:space="preserve">ão, nesta ordem: </w:t>
      </w:r>
      <w:r w:rsidR="005D4741" w:rsidRPr="005A3770">
        <w:rPr>
          <w:rFonts w:ascii="Arial" w:hAnsi="Arial" w:cs="Arial"/>
        </w:rPr>
        <w:t xml:space="preserve">a maior nota no critério </w:t>
      </w:r>
      <w:r w:rsidR="005D4741">
        <w:rPr>
          <w:rFonts w:ascii="Arial" w:hAnsi="Arial" w:cs="Arial"/>
        </w:rPr>
        <w:t>A</w:t>
      </w:r>
      <w:r w:rsidR="005D4741" w:rsidRPr="005A3770">
        <w:rPr>
          <w:rFonts w:ascii="Arial" w:hAnsi="Arial" w:cs="Arial"/>
        </w:rPr>
        <w:t>, seguida</w:t>
      </w:r>
      <w:r w:rsidR="005D4741">
        <w:rPr>
          <w:rFonts w:ascii="Arial" w:hAnsi="Arial" w:cs="Arial"/>
        </w:rPr>
        <w:t xml:space="preserve">, sequencialmente, pelas </w:t>
      </w:r>
      <w:r w:rsidR="005D4741" w:rsidRPr="005A3770">
        <w:rPr>
          <w:rFonts w:ascii="Arial" w:hAnsi="Arial" w:cs="Arial"/>
        </w:rPr>
        <w:t>maiores</w:t>
      </w:r>
      <w:r w:rsidR="005D4741">
        <w:rPr>
          <w:rFonts w:ascii="Arial" w:hAnsi="Arial" w:cs="Arial"/>
        </w:rPr>
        <w:t xml:space="preserve"> notas nos critérios B, C</w:t>
      </w:r>
      <w:r w:rsidR="008839FF">
        <w:rPr>
          <w:rFonts w:ascii="Arial" w:hAnsi="Arial" w:cs="Arial"/>
        </w:rPr>
        <w:t xml:space="preserve"> e</w:t>
      </w:r>
      <w:r w:rsidR="005D4741">
        <w:rPr>
          <w:rFonts w:ascii="Arial" w:hAnsi="Arial" w:cs="Arial"/>
        </w:rPr>
        <w:t xml:space="preserve"> D.</w:t>
      </w:r>
    </w:p>
    <w:p w14:paraId="26F190C7" w14:textId="77777777" w:rsidR="00FB4FC3" w:rsidRDefault="00FB4FC3" w:rsidP="000965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8258567" w14:textId="50A361F3" w:rsidR="005D4741" w:rsidRPr="005D4741" w:rsidRDefault="005D4741" w:rsidP="000965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5D4741">
        <w:rPr>
          <w:rFonts w:ascii="Arial" w:hAnsi="Arial" w:cs="Arial"/>
          <w:b/>
          <w:bCs/>
          <w:color w:val="000000"/>
        </w:rPr>
        <w:t>8.2. E</w:t>
      </w:r>
      <w:r>
        <w:rPr>
          <w:rFonts w:ascii="Arial" w:hAnsi="Arial" w:cs="Arial"/>
          <w:b/>
          <w:bCs/>
          <w:color w:val="000000"/>
        </w:rPr>
        <w:t>TAPAS DO JULGAMENTO</w:t>
      </w:r>
    </w:p>
    <w:p w14:paraId="02F3ADCA" w14:textId="77777777" w:rsidR="005D4741" w:rsidRPr="00DE70A6" w:rsidRDefault="005D4741" w:rsidP="000965F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E70A6">
        <w:rPr>
          <w:rFonts w:ascii="Arial" w:hAnsi="Arial" w:cs="Arial"/>
          <w:b/>
        </w:rPr>
        <w:t xml:space="preserve">8.2.1. Etapa I – Análise pela Comissão de </w:t>
      </w:r>
      <w:proofErr w:type="spellStart"/>
      <w:r w:rsidRPr="00DE70A6">
        <w:rPr>
          <w:rFonts w:ascii="Arial" w:hAnsi="Arial" w:cs="Arial"/>
          <w:b/>
        </w:rPr>
        <w:t>Pré</w:t>
      </w:r>
      <w:proofErr w:type="spellEnd"/>
      <w:r w:rsidRPr="00DE70A6">
        <w:rPr>
          <w:rFonts w:ascii="Arial" w:hAnsi="Arial" w:cs="Arial"/>
          <w:b/>
        </w:rPr>
        <w:t xml:space="preserve">-enquadramento (eliminatória) </w:t>
      </w:r>
    </w:p>
    <w:p w14:paraId="595ED17C" w14:textId="7BEE5989" w:rsidR="005D4741" w:rsidRP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8.2.1.1. A composição e as atribuições da Comissão de </w:t>
      </w:r>
      <w:proofErr w:type="spellStart"/>
      <w:r w:rsidRPr="005D4741">
        <w:rPr>
          <w:rFonts w:ascii="Arial" w:hAnsi="Arial" w:cs="Arial"/>
        </w:rPr>
        <w:t>Pré</w:t>
      </w:r>
      <w:proofErr w:type="spellEnd"/>
      <w:r w:rsidRPr="005D4741">
        <w:rPr>
          <w:rFonts w:ascii="Arial" w:hAnsi="Arial" w:cs="Arial"/>
        </w:rPr>
        <w:t>-enquadramento seguir</w:t>
      </w:r>
      <w:r>
        <w:rPr>
          <w:rFonts w:ascii="Arial" w:hAnsi="Arial" w:cs="Arial"/>
        </w:rPr>
        <w:t>ão</w:t>
      </w:r>
      <w:r w:rsidRPr="005D4741">
        <w:rPr>
          <w:rFonts w:ascii="Arial" w:hAnsi="Arial" w:cs="Arial"/>
        </w:rPr>
        <w:t xml:space="preserve"> as disposições contidas na </w:t>
      </w:r>
      <w:r w:rsidRPr="005D4741">
        <w:rPr>
          <w:rFonts w:ascii="Arial" w:hAnsi="Arial" w:cs="Arial"/>
          <w:b/>
          <w:bCs/>
        </w:rPr>
        <w:t>Portaria 2.195/2018</w:t>
      </w:r>
      <w:r w:rsidRPr="005D4741">
        <w:rPr>
          <w:rFonts w:ascii="Arial" w:hAnsi="Arial" w:cs="Arial"/>
        </w:rPr>
        <w:t xml:space="preserve"> </w:t>
      </w:r>
      <w:r w:rsidRPr="005D4741">
        <w:rPr>
          <w:rFonts w:ascii="Arial" w:hAnsi="Arial" w:cs="Arial"/>
          <w:b/>
          <w:bCs/>
        </w:rPr>
        <w:t>do MCTI</w:t>
      </w:r>
      <w:r w:rsidRPr="005D4741">
        <w:rPr>
          <w:rFonts w:ascii="Arial" w:hAnsi="Arial" w:cs="Arial"/>
        </w:rPr>
        <w:t xml:space="preserve">. </w:t>
      </w:r>
    </w:p>
    <w:p w14:paraId="2597573F" w14:textId="3BCF8B4A" w:rsid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8.2.1.2. Esta etapa, a ser realizada pela Comissão de </w:t>
      </w:r>
      <w:proofErr w:type="spellStart"/>
      <w:r w:rsidRPr="005D4741">
        <w:rPr>
          <w:rFonts w:ascii="Arial" w:hAnsi="Arial" w:cs="Arial"/>
        </w:rPr>
        <w:t>Pré</w:t>
      </w:r>
      <w:proofErr w:type="spellEnd"/>
      <w:r w:rsidRPr="005D4741">
        <w:rPr>
          <w:rFonts w:ascii="Arial" w:hAnsi="Arial" w:cs="Arial"/>
        </w:rPr>
        <w:t xml:space="preserve">-enquadramento, consiste na análise das propostas apresentadas quanto ao atendimento às disposições estabelecidas no item 4.1 desta Chamada. </w:t>
      </w:r>
    </w:p>
    <w:p w14:paraId="2CFD9393" w14:textId="1185C338" w:rsidR="00DD7E73" w:rsidRDefault="008C517E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8.2.1.3. </w:t>
      </w:r>
      <w:r w:rsidR="00DD7E73">
        <w:rPr>
          <w:rFonts w:ascii="Arial" w:hAnsi="Arial" w:cs="Arial"/>
        </w:rPr>
        <w:t xml:space="preserve">Após as inscrições, os membros da Comissão deverão assinar a </w:t>
      </w:r>
      <w:r w:rsidR="00DD7E73" w:rsidRPr="00DD7E73">
        <w:rPr>
          <w:rFonts w:ascii="Arial" w:hAnsi="Arial" w:cs="Arial"/>
          <w:b/>
          <w:bCs/>
        </w:rPr>
        <w:t>Declaração de Não Parentesco</w:t>
      </w:r>
      <w:r w:rsidR="00DD7E73">
        <w:rPr>
          <w:rFonts w:ascii="Arial" w:hAnsi="Arial" w:cs="Arial"/>
        </w:rPr>
        <w:t xml:space="preserve"> antes de proceder a qualquer avaliação.</w:t>
      </w:r>
    </w:p>
    <w:p w14:paraId="39FAC429" w14:textId="0A7B097A" w:rsidR="005D4741" w:rsidRP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>8.2.1.</w:t>
      </w:r>
      <w:r w:rsidR="00DD7E73">
        <w:rPr>
          <w:rFonts w:ascii="Arial" w:hAnsi="Arial" w:cs="Arial"/>
        </w:rPr>
        <w:t>4</w:t>
      </w:r>
      <w:r w:rsidRPr="005D4741">
        <w:rPr>
          <w:rFonts w:ascii="Arial" w:hAnsi="Arial" w:cs="Arial"/>
        </w:rPr>
        <w:t xml:space="preserve">. As propostas que não atendam a todos os critérios de elegibilidade serão INDEFERIDAS e não farão parte das demais etapas de julgamento. </w:t>
      </w:r>
    </w:p>
    <w:p w14:paraId="64441C2E" w14:textId="77777777" w:rsidR="005D4741" w:rsidRPr="00265F89" w:rsidRDefault="005D4741" w:rsidP="000965F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65F89">
        <w:rPr>
          <w:rFonts w:ascii="Arial" w:hAnsi="Arial" w:cs="Arial"/>
          <w:b/>
        </w:rPr>
        <w:t xml:space="preserve">8.2.2. Etapa II – Análise pela Comissão de Avaliação de Mérito (classificatória) </w:t>
      </w:r>
    </w:p>
    <w:p w14:paraId="23F9EEE6" w14:textId="01EDE8F7" w:rsid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8.2.2.1. A composição e as atribuições da Comissão de Avaliação de Mérito seguirão as disposições contidas na </w:t>
      </w:r>
      <w:r w:rsidRPr="005D4741">
        <w:rPr>
          <w:rFonts w:ascii="Arial" w:hAnsi="Arial" w:cs="Arial"/>
          <w:b/>
          <w:bCs/>
        </w:rPr>
        <w:t>Portaria 2.195/2018</w:t>
      </w:r>
      <w:r w:rsidRPr="005D4741">
        <w:rPr>
          <w:rFonts w:ascii="Arial" w:hAnsi="Arial" w:cs="Arial"/>
        </w:rPr>
        <w:t xml:space="preserve"> </w:t>
      </w:r>
      <w:r w:rsidRPr="005D4741">
        <w:rPr>
          <w:rFonts w:ascii="Arial" w:hAnsi="Arial" w:cs="Arial"/>
          <w:b/>
          <w:bCs/>
        </w:rPr>
        <w:t>do MCTI</w:t>
      </w:r>
      <w:r w:rsidRPr="005D4741">
        <w:rPr>
          <w:rFonts w:ascii="Arial" w:hAnsi="Arial" w:cs="Arial"/>
        </w:rPr>
        <w:t xml:space="preserve">. </w:t>
      </w:r>
    </w:p>
    <w:p w14:paraId="281EB971" w14:textId="5B71F93C" w:rsidR="00204DE6" w:rsidRDefault="00204DE6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8.2.2.2. Após as inscrições, os membros da Comissão deverão assinar a </w:t>
      </w:r>
      <w:r w:rsidRPr="00DD7E73">
        <w:rPr>
          <w:rFonts w:ascii="Arial" w:hAnsi="Arial" w:cs="Arial"/>
          <w:b/>
          <w:bCs/>
        </w:rPr>
        <w:t>Declaração de Não Parentesco</w:t>
      </w:r>
      <w:r>
        <w:rPr>
          <w:rFonts w:ascii="Arial" w:hAnsi="Arial" w:cs="Arial"/>
        </w:rPr>
        <w:t xml:space="preserve"> antes de proceder a qualquer avaliação.</w:t>
      </w:r>
    </w:p>
    <w:p w14:paraId="464EAD65" w14:textId="6C520CB7" w:rsidR="005D4741" w:rsidRP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>8.2.2.</w:t>
      </w:r>
      <w:r w:rsidR="00204DE6">
        <w:rPr>
          <w:rFonts w:ascii="Arial" w:hAnsi="Arial" w:cs="Arial"/>
        </w:rPr>
        <w:t>3</w:t>
      </w:r>
      <w:r w:rsidRPr="005D4741">
        <w:rPr>
          <w:rFonts w:ascii="Arial" w:hAnsi="Arial" w:cs="Arial"/>
        </w:rPr>
        <w:t xml:space="preserve">. Os membros Ad Hoc da comissão avaliarão individualmente os candidatos, estabelecendo pontuação conforme descrito no item 8.1. </w:t>
      </w:r>
    </w:p>
    <w:p w14:paraId="4DAB32ED" w14:textId="1C86EFC2" w:rsidR="003755E9" w:rsidRPr="003755E9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>8.2.2.</w:t>
      </w:r>
      <w:r w:rsidR="00204DE6">
        <w:rPr>
          <w:rFonts w:ascii="Arial" w:hAnsi="Arial" w:cs="Arial"/>
        </w:rPr>
        <w:t>4</w:t>
      </w:r>
      <w:r w:rsidRPr="005D47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Todas as propostas avaliadas serão objeto de parecer de mérito consubstanciado,</w:t>
      </w:r>
      <w:r w:rsidR="00375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contendo a fundamentação que justifica a pontuação atribuída.</w:t>
      </w:r>
      <w:r w:rsidRPr="005D4741">
        <w:rPr>
          <w:rFonts w:ascii="Arial" w:hAnsi="Arial" w:cs="Arial"/>
        </w:rPr>
        <w:t>8.2.2.</w:t>
      </w:r>
      <w:r w:rsidR="00204DE6">
        <w:rPr>
          <w:rFonts w:ascii="Arial" w:hAnsi="Arial" w:cs="Arial"/>
        </w:rPr>
        <w:t>5</w:t>
      </w:r>
      <w:r w:rsidRPr="005D4741">
        <w:rPr>
          <w:rFonts w:ascii="Arial" w:hAnsi="Arial" w:cs="Arial"/>
        </w:rPr>
        <w:t xml:space="preserve">. Após a análise de mérito e relevância de cada proposta, a Comissão deverá classificar os candidatos, através da média entre as notas atribuídas pelos membros Ad Hoc e </w:t>
      </w:r>
      <w:r w:rsidR="003755E9" w:rsidRPr="003755E9">
        <w:rPr>
          <w:rFonts w:ascii="Arial" w:hAnsi="Arial" w:cs="Arial"/>
        </w:rPr>
        <w:t xml:space="preserve">recomendar: </w:t>
      </w:r>
    </w:p>
    <w:p w14:paraId="3BCD7A27" w14:textId="77777777" w:rsidR="003755E9" w:rsidRPr="00265F89" w:rsidRDefault="003755E9" w:rsidP="00096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65F89">
        <w:rPr>
          <w:rFonts w:ascii="Arial" w:hAnsi="Arial" w:cs="Arial"/>
          <w:b/>
          <w:bCs/>
          <w:color w:val="000000"/>
          <w:sz w:val="23"/>
          <w:szCs w:val="23"/>
        </w:rPr>
        <w:t xml:space="preserve">a) </w:t>
      </w:r>
      <w:r w:rsidRPr="00265F89">
        <w:rPr>
          <w:rFonts w:ascii="Arial" w:hAnsi="Arial" w:cs="Arial"/>
          <w:b/>
          <w:color w:val="000000"/>
          <w:sz w:val="23"/>
          <w:szCs w:val="23"/>
        </w:rPr>
        <w:t xml:space="preserve">APROVAÇÃO; ou </w:t>
      </w:r>
    </w:p>
    <w:p w14:paraId="47FCA781" w14:textId="77777777" w:rsidR="003755E9" w:rsidRPr="00265F89" w:rsidRDefault="003755E9" w:rsidP="000965F9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65F89">
        <w:rPr>
          <w:rFonts w:ascii="Arial" w:hAnsi="Arial" w:cs="Arial"/>
          <w:b/>
          <w:bCs/>
          <w:color w:val="000000"/>
          <w:sz w:val="23"/>
          <w:szCs w:val="23"/>
        </w:rPr>
        <w:t xml:space="preserve">b) </w:t>
      </w:r>
      <w:r w:rsidRPr="00265F89">
        <w:rPr>
          <w:rFonts w:ascii="Arial" w:hAnsi="Arial" w:cs="Arial"/>
          <w:b/>
          <w:color w:val="000000"/>
          <w:sz w:val="23"/>
          <w:szCs w:val="23"/>
        </w:rPr>
        <w:t>NÃO APROVAÇÃO</w:t>
      </w:r>
      <w:r w:rsidRPr="00265F8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</w:p>
    <w:p w14:paraId="616AB852" w14:textId="49D9F8EF" w:rsidR="005D4741" w:rsidRDefault="005D4741" w:rsidP="000965F9">
      <w:pPr>
        <w:spacing w:before="120" w:after="120" w:line="360" w:lineRule="auto"/>
        <w:jc w:val="both"/>
        <w:rPr>
          <w:rFonts w:ascii="Arial" w:hAnsi="Arial" w:cs="Arial"/>
        </w:rPr>
      </w:pPr>
      <w:r w:rsidRPr="005D4741">
        <w:rPr>
          <w:rFonts w:ascii="Arial" w:hAnsi="Arial" w:cs="Arial"/>
        </w:rPr>
        <w:t xml:space="preserve">8.2.2.5. O parecer da Comissão de Avaliação de Mérito será registrado em Planilha de Julgamento, contendo a relação das propostas </w:t>
      </w:r>
      <w:r w:rsidR="003755E9">
        <w:rPr>
          <w:rFonts w:ascii="Arial" w:hAnsi="Arial" w:cs="Arial"/>
        </w:rPr>
        <w:t>recomendadas e não recomendadas e</w:t>
      </w:r>
      <w:r w:rsidRPr="005D4741">
        <w:rPr>
          <w:rFonts w:ascii="Arial" w:hAnsi="Arial" w:cs="Arial"/>
        </w:rPr>
        <w:t xml:space="preserve"> suas respectivas pontuações, por </w:t>
      </w:r>
      <w:r w:rsidR="008839FF">
        <w:rPr>
          <w:rFonts w:ascii="Arial" w:hAnsi="Arial" w:cs="Arial"/>
        </w:rPr>
        <w:t>código das vagas descritas no Anexo 1</w:t>
      </w:r>
      <w:r w:rsidRPr="005D4741">
        <w:rPr>
          <w:rFonts w:ascii="Arial" w:hAnsi="Arial" w:cs="Arial"/>
        </w:rPr>
        <w:t xml:space="preserve">, assim como outras informações e recomendações pertinentes. </w:t>
      </w:r>
    </w:p>
    <w:p w14:paraId="0BAD266F" w14:textId="3047D600" w:rsidR="003755E9" w:rsidRPr="003755E9" w:rsidRDefault="003755E9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55E9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755E9">
        <w:rPr>
          <w:rFonts w:ascii="Arial" w:hAnsi="Arial" w:cs="Arial"/>
        </w:rPr>
        <w:t xml:space="preserve">.2.6 Durante a classificação das propostas pela Comissão de Avaliação de Mérito, o Gestor da Chamada e a Comissão de </w:t>
      </w:r>
      <w:proofErr w:type="spellStart"/>
      <w:r w:rsidRPr="003755E9">
        <w:rPr>
          <w:rFonts w:ascii="Arial" w:hAnsi="Arial" w:cs="Arial"/>
        </w:rPr>
        <w:t>Pré</w:t>
      </w:r>
      <w:proofErr w:type="spellEnd"/>
      <w:r w:rsidRPr="003755E9">
        <w:rPr>
          <w:rFonts w:ascii="Arial" w:hAnsi="Arial" w:cs="Arial"/>
        </w:rPr>
        <w:t xml:space="preserve">-enquadramento acompanharão as atividades e poderão recomendar ajustes e correções necessários. </w:t>
      </w:r>
    </w:p>
    <w:p w14:paraId="01959918" w14:textId="57BEEBAB" w:rsidR="003755E9" w:rsidRDefault="003755E9" w:rsidP="000965F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55E9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3755E9">
        <w:rPr>
          <w:rFonts w:ascii="Arial" w:hAnsi="Arial" w:cs="Arial"/>
        </w:rPr>
        <w:t>.2.7 A Planilha de Julgamento será assinada pelos membros da Comissão de Avaliação de Mérito.</w:t>
      </w:r>
    </w:p>
    <w:p w14:paraId="53BAD8FE" w14:textId="46C57F43" w:rsidR="003755E9" w:rsidRPr="00265F89" w:rsidRDefault="003755E9" w:rsidP="000965F9">
      <w:pPr>
        <w:pStyle w:val="Default"/>
        <w:spacing w:before="120" w:after="120" w:line="360" w:lineRule="auto"/>
        <w:jc w:val="both"/>
        <w:rPr>
          <w:b/>
          <w:color w:val="auto"/>
          <w:sz w:val="22"/>
          <w:szCs w:val="22"/>
        </w:rPr>
      </w:pPr>
      <w:r w:rsidRPr="00265F89">
        <w:rPr>
          <w:b/>
          <w:color w:val="auto"/>
          <w:sz w:val="22"/>
          <w:szCs w:val="22"/>
        </w:rPr>
        <w:t>8.2.3. Etapa III – Homologação do julgamento pelo Diretor do MPEG</w:t>
      </w:r>
    </w:p>
    <w:p w14:paraId="5263D344" w14:textId="702A2755" w:rsidR="003755E9" w:rsidRDefault="003755E9" w:rsidP="000965F9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3755E9">
        <w:rPr>
          <w:color w:val="auto"/>
          <w:sz w:val="22"/>
          <w:szCs w:val="22"/>
        </w:rPr>
        <w:t xml:space="preserve">8.2.3.1. O Diretor do </w:t>
      </w:r>
      <w:r>
        <w:rPr>
          <w:color w:val="auto"/>
          <w:sz w:val="22"/>
          <w:szCs w:val="22"/>
        </w:rPr>
        <w:t>MPEG</w:t>
      </w:r>
      <w:r w:rsidRPr="003755E9">
        <w:rPr>
          <w:color w:val="auto"/>
          <w:sz w:val="22"/>
          <w:szCs w:val="22"/>
        </w:rPr>
        <w:t xml:space="preserve"> homologará o resultado com fundamento na Planilha de Julgamento elaborada pela Comissão de Avaliação de Mérito, acompanhada dos </w:t>
      </w:r>
      <w:r>
        <w:rPr>
          <w:color w:val="auto"/>
          <w:sz w:val="22"/>
          <w:szCs w:val="22"/>
        </w:rPr>
        <w:t xml:space="preserve">demais </w:t>
      </w:r>
      <w:r w:rsidRPr="003755E9">
        <w:rPr>
          <w:color w:val="auto"/>
          <w:sz w:val="22"/>
          <w:szCs w:val="22"/>
        </w:rPr>
        <w:t>documentos que compõem o processo de seleção.</w:t>
      </w:r>
    </w:p>
    <w:p w14:paraId="0D3440A9" w14:textId="73E1B793" w:rsidR="003755E9" w:rsidRDefault="003755E9" w:rsidP="000965F9">
      <w:pPr>
        <w:pStyle w:val="Default"/>
        <w:spacing w:before="12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9. RESULTADO PRELIMINAR DO JULGAMENTO </w:t>
      </w:r>
    </w:p>
    <w:p w14:paraId="3B579C09" w14:textId="3F39DB2F" w:rsidR="003755E9" w:rsidRPr="002429FC" w:rsidRDefault="003755E9" w:rsidP="000965F9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9.1. A relação de todas as propostas julgadas, com a respectiva pontuação dos candidatos selecionados, será divulgada na página eletrônica do MPEG, disponível na Internet no endereço www.museu-goeldi.br, conforme CRONOGRAMA. </w:t>
      </w:r>
    </w:p>
    <w:p w14:paraId="22EDE5BF" w14:textId="17F2D9B4" w:rsidR="002429FC" w:rsidRPr="002429FC" w:rsidRDefault="002429FC" w:rsidP="000965F9">
      <w:pPr>
        <w:pStyle w:val="Default"/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 xml:space="preserve">10. RECURSOS ADMINISTRATIVOS </w:t>
      </w:r>
    </w:p>
    <w:p w14:paraId="2B09CC27" w14:textId="263F853C" w:rsidR="003755E9" w:rsidRPr="002429FC" w:rsidRDefault="003755E9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>10.1. Caso o proponente</w:t>
      </w:r>
      <w:r w:rsidR="002D0C8A">
        <w:rPr>
          <w:color w:val="auto"/>
          <w:sz w:val="22"/>
          <w:szCs w:val="22"/>
        </w:rPr>
        <w:t xml:space="preserve"> queira contestar o resultado preliminar da chamada ou outra decisão administrativa acerca da mesma, poderá contestar, de forma motivada e </w:t>
      </w:r>
      <w:r w:rsidRPr="002429FC">
        <w:rPr>
          <w:color w:val="auto"/>
          <w:sz w:val="22"/>
          <w:szCs w:val="22"/>
        </w:rPr>
        <w:t>justific</w:t>
      </w:r>
      <w:r w:rsidR="002D0C8A">
        <w:rPr>
          <w:color w:val="auto"/>
          <w:sz w:val="22"/>
          <w:szCs w:val="22"/>
        </w:rPr>
        <w:t>ada, por meio da apresentação</w:t>
      </w:r>
      <w:r w:rsidRPr="002429FC">
        <w:rPr>
          <w:color w:val="auto"/>
          <w:sz w:val="22"/>
          <w:szCs w:val="22"/>
        </w:rPr>
        <w:t xml:space="preserve"> </w:t>
      </w:r>
      <w:r w:rsidR="002D0C8A">
        <w:rPr>
          <w:color w:val="auto"/>
          <w:sz w:val="22"/>
          <w:szCs w:val="22"/>
        </w:rPr>
        <w:t>de</w:t>
      </w:r>
      <w:r w:rsidRPr="002429FC">
        <w:rPr>
          <w:color w:val="auto"/>
          <w:sz w:val="22"/>
          <w:szCs w:val="22"/>
        </w:rPr>
        <w:t xml:space="preserve"> recurso em formulário eletrônico específico, disponível no endereço www.</w:t>
      </w:r>
      <w:r w:rsidR="002429FC" w:rsidRPr="002429FC">
        <w:rPr>
          <w:color w:val="auto"/>
          <w:sz w:val="22"/>
          <w:szCs w:val="22"/>
        </w:rPr>
        <w:t>museu-goeldi</w:t>
      </w:r>
      <w:r w:rsidRPr="002429FC">
        <w:rPr>
          <w:color w:val="auto"/>
          <w:sz w:val="22"/>
          <w:szCs w:val="22"/>
        </w:rPr>
        <w:t xml:space="preserve">.br, até o prazo definido no cronograma. </w:t>
      </w:r>
    </w:p>
    <w:p w14:paraId="31E9C790" w14:textId="1663740C" w:rsidR="003755E9" w:rsidRPr="002429FC" w:rsidRDefault="003755E9" w:rsidP="000965F9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>10.</w:t>
      </w:r>
      <w:r w:rsidR="002D0C8A">
        <w:rPr>
          <w:color w:val="auto"/>
          <w:sz w:val="22"/>
          <w:szCs w:val="22"/>
        </w:rPr>
        <w:t>2</w:t>
      </w:r>
      <w:r w:rsidRPr="002429FC">
        <w:rPr>
          <w:color w:val="auto"/>
          <w:sz w:val="22"/>
          <w:szCs w:val="22"/>
        </w:rPr>
        <w:t xml:space="preserve">. Havendo recurso, a Comissão de </w:t>
      </w:r>
      <w:proofErr w:type="spellStart"/>
      <w:r w:rsidRPr="002429FC">
        <w:rPr>
          <w:color w:val="auto"/>
          <w:sz w:val="22"/>
          <w:szCs w:val="22"/>
        </w:rPr>
        <w:t>Pré</w:t>
      </w:r>
      <w:proofErr w:type="spellEnd"/>
      <w:r w:rsidRPr="002429FC">
        <w:rPr>
          <w:color w:val="auto"/>
          <w:sz w:val="22"/>
          <w:szCs w:val="22"/>
        </w:rPr>
        <w:t xml:space="preserve">-enquadramento emitirá Nota Técnica deferindo ou indeferindo o pedido. </w:t>
      </w:r>
    </w:p>
    <w:p w14:paraId="3CA5FAE3" w14:textId="5BEB578D" w:rsidR="002429FC" w:rsidRPr="002429FC" w:rsidRDefault="002429FC" w:rsidP="000965F9">
      <w:pPr>
        <w:pStyle w:val="Default"/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 xml:space="preserve">11. RESULTADO FINAL DO JULGAMENTO </w:t>
      </w:r>
    </w:p>
    <w:p w14:paraId="555533D9" w14:textId="7BE067A4" w:rsidR="003755E9" w:rsidRPr="002429FC" w:rsidRDefault="003755E9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11.1. A Diretoria </w:t>
      </w:r>
      <w:r w:rsidR="002429FC" w:rsidRPr="002429FC">
        <w:rPr>
          <w:color w:val="auto"/>
          <w:sz w:val="22"/>
          <w:szCs w:val="22"/>
        </w:rPr>
        <w:t>MPEG</w:t>
      </w:r>
      <w:r w:rsidRPr="002429FC">
        <w:rPr>
          <w:color w:val="auto"/>
          <w:sz w:val="22"/>
          <w:szCs w:val="22"/>
        </w:rPr>
        <w:t xml:space="preserve"> emitirá decisão final do resultado, ratificando o relatório preliminar de julgamento, ou em caso de recurso, com fundamento na Nota Técnica elaborada pela Comissão de </w:t>
      </w:r>
      <w:proofErr w:type="spellStart"/>
      <w:r w:rsidRPr="002429FC">
        <w:rPr>
          <w:color w:val="auto"/>
          <w:sz w:val="22"/>
          <w:szCs w:val="22"/>
        </w:rPr>
        <w:t>Pré</w:t>
      </w:r>
      <w:proofErr w:type="spellEnd"/>
      <w:r w:rsidRPr="002429FC">
        <w:rPr>
          <w:color w:val="auto"/>
          <w:sz w:val="22"/>
          <w:szCs w:val="22"/>
        </w:rPr>
        <w:t xml:space="preserve">-enquadramento, acompanhada dos documentos que compõem o processo de seleção. </w:t>
      </w:r>
    </w:p>
    <w:p w14:paraId="40B2E047" w14:textId="74A6AFAA" w:rsidR="003755E9" w:rsidRPr="002429FC" w:rsidRDefault="003755E9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11.2. O resultado final do julgamento pela Diretoria será divulgado na página eletrônica do </w:t>
      </w:r>
      <w:r w:rsidR="002429FC" w:rsidRPr="002429FC">
        <w:rPr>
          <w:color w:val="auto"/>
          <w:sz w:val="22"/>
          <w:szCs w:val="22"/>
        </w:rPr>
        <w:t>MPEG</w:t>
      </w:r>
      <w:r w:rsidRPr="002429FC">
        <w:rPr>
          <w:color w:val="auto"/>
          <w:sz w:val="22"/>
          <w:szCs w:val="22"/>
        </w:rPr>
        <w:t>, disponível na Internet no endereço www.</w:t>
      </w:r>
      <w:r w:rsidR="002429FC" w:rsidRPr="002429FC">
        <w:rPr>
          <w:color w:val="auto"/>
          <w:sz w:val="22"/>
          <w:szCs w:val="22"/>
        </w:rPr>
        <w:t>museu-goeldi</w:t>
      </w:r>
      <w:r w:rsidRPr="002429FC">
        <w:rPr>
          <w:color w:val="auto"/>
          <w:sz w:val="22"/>
          <w:szCs w:val="22"/>
        </w:rPr>
        <w:t xml:space="preserve">.br e publicado, por extrato, no Diário Oficial da União, conforme CRONOGRAMA. </w:t>
      </w:r>
    </w:p>
    <w:p w14:paraId="61E41130" w14:textId="77777777" w:rsidR="002429FC" w:rsidRPr="002429FC" w:rsidRDefault="002429FC" w:rsidP="002429FC">
      <w:pPr>
        <w:pStyle w:val="Default"/>
        <w:rPr>
          <w:color w:val="auto"/>
          <w:sz w:val="22"/>
          <w:szCs w:val="22"/>
        </w:rPr>
      </w:pPr>
    </w:p>
    <w:p w14:paraId="6FEC3DF7" w14:textId="77777777" w:rsidR="002429FC" w:rsidRPr="002429FC" w:rsidRDefault="002429FC" w:rsidP="002429FC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2429FC">
        <w:rPr>
          <w:b/>
          <w:bCs/>
          <w:color w:val="auto"/>
          <w:sz w:val="22"/>
          <w:szCs w:val="22"/>
        </w:rPr>
        <w:t>12. EXECUÇÃO DAS PROPOSTAS SELECIONADAS</w:t>
      </w:r>
    </w:p>
    <w:p w14:paraId="2952D278" w14:textId="5CC16F1A" w:rsidR="003755E9" w:rsidRPr="002429FC" w:rsidRDefault="003755E9" w:rsidP="000965F9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12.1. Caberá ao coordenador do Programa de Capacitação Institucional realizar as indicações dos bolsistas, seguida a ordem de classificação </w:t>
      </w:r>
      <w:r w:rsidR="008839FF">
        <w:rPr>
          <w:color w:val="auto"/>
          <w:sz w:val="22"/>
          <w:szCs w:val="22"/>
        </w:rPr>
        <w:t>de cada vaga n</w:t>
      </w:r>
      <w:r w:rsidRPr="002429FC">
        <w:rPr>
          <w:color w:val="auto"/>
          <w:sz w:val="22"/>
          <w:szCs w:val="22"/>
        </w:rPr>
        <w:t xml:space="preserve">o resultado final do julgamento, após a aprovação pela Comissão de Enquadramento, conforme previsto na </w:t>
      </w:r>
      <w:r w:rsidRPr="002429FC">
        <w:rPr>
          <w:b/>
          <w:bCs/>
          <w:color w:val="auto"/>
          <w:sz w:val="22"/>
          <w:szCs w:val="22"/>
        </w:rPr>
        <w:t>Portaria 2.195/2018 do MCTIC</w:t>
      </w:r>
      <w:r w:rsidR="002429FC" w:rsidRPr="002429FC">
        <w:rPr>
          <w:color w:val="auto"/>
          <w:sz w:val="22"/>
          <w:szCs w:val="22"/>
        </w:rPr>
        <w:t>.</w:t>
      </w:r>
      <w:r w:rsidRPr="002429FC">
        <w:rPr>
          <w:color w:val="auto"/>
          <w:sz w:val="22"/>
          <w:szCs w:val="22"/>
        </w:rPr>
        <w:t xml:space="preserve"> </w:t>
      </w:r>
    </w:p>
    <w:p w14:paraId="4C67895C" w14:textId="1083E598" w:rsidR="003755E9" w:rsidRDefault="003755E9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2429FC">
        <w:rPr>
          <w:color w:val="auto"/>
          <w:sz w:val="22"/>
          <w:szCs w:val="22"/>
        </w:rPr>
        <w:t xml:space="preserve">12.2. O coordenador do Programa de Capacitação Institucional poderá cancelar a bolsa, por rendimento insuficiente do bolsista ou por ocorrência, durante sua implementação, de fato cuja gravidade justifique o cancelamento, sem prejuízo de outras providências cabíveis em decisão devidamente fundamentada. </w:t>
      </w:r>
    </w:p>
    <w:p w14:paraId="55620A4D" w14:textId="77777777" w:rsidR="000965F9" w:rsidRDefault="000965F9">
      <w:pPr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</w:p>
    <w:p w14:paraId="64D70BCC" w14:textId="7B6B106C" w:rsidR="003E0885" w:rsidRPr="003E0885" w:rsidRDefault="003E0885" w:rsidP="000965F9">
      <w:pPr>
        <w:pStyle w:val="Default"/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lastRenderedPageBreak/>
        <w:t>1</w:t>
      </w:r>
      <w:r>
        <w:rPr>
          <w:b/>
          <w:bCs/>
          <w:color w:val="auto"/>
          <w:sz w:val="22"/>
          <w:szCs w:val="22"/>
        </w:rPr>
        <w:t>3</w:t>
      </w:r>
      <w:r w:rsidRPr="003E0885">
        <w:rPr>
          <w:b/>
          <w:bCs/>
          <w:color w:val="auto"/>
          <w:sz w:val="22"/>
          <w:szCs w:val="22"/>
        </w:rPr>
        <w:t xml:space="preserve">. DA AVALIAÇÃO </w:t>
      </w:r>
    </w:p>
    <w:p w14:paraId="28EC74B1" w14:textId="03D01E21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11.1 - O desempenho do bolsista será avaliado pelo Coordenador do Subprograma de Capacitação Institucional do </w:t>
      </w:r>
      <w:r w:rsidR="00F479F6">
        <w:rPr>
          <w:color w:val="auto"/>
          <w:sz w:val="22"/>
          <w:szCs w:val="22"/>
        </w:rPr>
        <w:t>MPEG</w:t>
      </w:r>
      <w:r w:rsidR="00F479F6" w:rsidRPr="003E0885">
        <w:rPr>
          <w:color w:val="auto"/>
          <w:sz w:val="22"/>
          <w:szCs w:val="22"/>
        </w:rPr>
        <w:t xml:space="preserve"> </w:t>
      </w:r>
      <w:r w:rsidRPr="003E0885">
        <w:rPr>
          <w:color w:val="auto"/>
          <w:sz w:val="22"/>
          <w:szCs w:val="22"/>
        </w:rPr>
        <w:t xml:space="preserve">durante a vigência da bolsa, com base </w:t>
      </w:r>
      <w:r w:rsidR="00B0170A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as informações prestadas pelo Bolsista acompanhadas do </w:t>
      </w:r>
      <w:r w:rsidRPr="003E0885">
        <w:rPr>
          <w:color w:val="auto"/>
          <w:sz w:val="22"/>
          <w:szCs w:val="22"/>
        </w:rPr>
        <w:t xml:space="preserve">parecer técnico do </w:t>
      </w:r>
      <w:r>
        <w:rPr>
          <w:color w:val="auto"/>
          <w:sz w:val="22"/>
          <w:szCs w:val="22"/>
        </w:rPr>
        <w:t>S</w:t>
      </w:r>
      <w:r w:rsidRPr="003E0885">
        <w:rPr>
          <w:color w:val="auto"/>
          <w:sz w:val="22"/>
          <w:szCs w:val="22"/>
        </w:rPr>
        <w:t xml:space="preserve">upervisor. </w:t>
      </w:r>
    </w:p>
    <w:p w14:paraId="12456D24" w14:textId="77777777" w:rsidR="003E0885" w:rsidRPr="003E0885" w:rsidRDefault="003E0885" w:rsidP="000965F9">
      <w:pPr>
        <w:pStyle w:val="Default"/>
        <w:spacing w:before="120" w:line="360" w:lineRule="auto"/>
        <w:jc w:val="both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12. IMPUGNAÇÃO DO EDITAL </w:t>
      </w:r>
    </w:p>
    <w:p w14:paraId="0C78B275" w14:textId="6643C789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12.1 Decairá do direito de impugnar os termos desta Chamada o cidadão que não o fizer até o prazo disposto no Cronograma (item </w:t>
      </w:r>
      <w:r w:rsidR="00B0170A">
        <w:rPr>
          <w:color w:val="auto"/>
          <w:sz w:val="22"/>
          <w:szCs w:val="22"/>
        </w:rPr>
        <w:t>3</w:t>
      </w:r>
      <w:r w:rsidRPr="003E0885">
        <w:rPr>
          <w:color w:val="auto"/>
          <w:sz w:val="22"/>
          <w:szCs w:val="22"/>
        </w:rPr>
        <w:t xml:space="preserve">). </w:t>
      </w:r>
    </w:p>
    <w:p w14:paraId="0D62E4B6" w14:textId="77777777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12.1.1 Caso não seja impugnada dentro do prazo, o candidato não poderá mais contrariar as cláusulas desta Chamada, concordando com todos os seus termos. </w:t>
      </w:r>
    </w:p>
    <w:p w14:paraId="25ECC20E" w14:textId="6DE71976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12.2 A impugnação deverá ser dirigida à Diretoria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 da Amazônia, por correspondência eletrônica, para o e-mail: </w:t>
      </w:r>
      <w:r w:rsidR="00457F5C">
        <w:rPr>
          <w:color w:val="auto"/>
          <w:sz w:val="22"/>
          <w:szCs w:val="22"/>
        </w:rPr>
        <w:t>bolsas_</w:t>
      </w:r>
      <w:r w:rsidR="00B0170A">
        <w:rPr>
          <w:color w:val="auto"/>
          <w:sz w:val="22"/>
          <w:szCs w:val="22"/>
        </w:rPr>
        <w:t>pci</w:t>
      </w:r>
      <w:r w:rsidRPr="003E0885">
        <w:rPr>
          <w:color w:val="auto"/>
          <w:sz w:val="22"/>
          <w:szCs w:val="22"/>
        </w:rPr>
        <w:t>@</w:t>
      </w:r>
      <w:r w:rsidR="00B0170A">
        <w:rPr>
          <w:color w:val="auto"/>
          <w:sz w:val="22"/>
          <w:szCs w:val="22"/>
        </w:rPr>
        <w:t>museu-goeldi.br</w:t>
      </w:r>
      <w:r w:rsidRPr="003E0885">
        <w:rPr>
          <w:color w:val="auto"/>
          <w:sz w:val="22"/>
          <w:szCs w:val="22"/>
        </w:rPr>
        <w:t xml:space="preserve">, seguindo as normas do processo administrativo federal. </w:t>
      </w:r>
    </w:p>
    <w:p w14:paraId="06DD65D0" w14:textId="77777777" w:rsidR="003E0885" w:rsidRPr="003E0885" w:rsidRDefault="003E0885" w:rsidP="000965F9">
      <w:pPr>
        <w:pStyle w:val="Default"/>
        <w:spacing w:before="120" w:line="360" w:lineRule="auto"/>
        <w:jc w:val="both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13. INFORMAÇÕES </w:t>
      </w:r>
    </w:p>
    <w:p w14:paraId="2CCBC058" w14:textId="5CBF186B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E-mail: </w:t>
      </w:r>
      <w:r w:rsidR="00265F89">
        <w:rPr>
          <w:color w:val="auto"/>
          <w:sz w:val="22"/>
          <w:szCs w:val="22"/>
        </w:rPr>
        <w:t>bolsas_</w:t>
      </w:r>
      <w:r w:rsidR="00B0170A">
        <w:rPr>
          <w:color w:val="auto"/>
          <w:sz w:val="22"/>
          <w:szCs w:val="22"/>
        </w:rPr>
        <w:t>pci</w:t>
      </w:r>
      <w:r w:rsidRPr="003E0885">
        <w:rPr>
          <w:color w:val="auto"/>
          <w:sz w:val="22"/>
          <w:szCs w:val="22"/>
        </w:rPr>
        <w:t>@</w:t>
      </w:r>
      <w:r w:rsidR="00B0170A">
        <w:rPr>
          <w:color w:val="auto"/>
          <w:sz w:val="22"/>
          <w:szCs w:val="22"/>
        </w:rPr>
        <w:t>museu-goeldi</w:t>
      </w:r>
      <w:r w:rsidRPr="003E0885">
        <w:rPr>
          <w:color w:val="auto"/>
          <w:sz w:val="22"/>
          <w:szCs w:val="22"/>
        </w:rPr>
        <w:t xml:space="preserve">.br </w:t>
      </w:r>
    </w:p>
    <w:p w14:paraId="1F9EC11E" w14:textId="77777777" w:rsidR="003E0885" w:rsidRPr="003E0885" w:rsidRDefault="003E0885" w:rsidP="000965F9">
      <w:pPr>
        <w:pStyle w:val="Default"/>
        <w:spacing w:before="120" w:line="360" w:lineRule="auto"/>
        <w:jc w:val="both"/>
        <w:rPr>
          <w:b/>
          <w:bCs/>
          <w:color w:val="auto"/>
          <w:sz w:val="22"/>
          <w:szCs w:val="22"/>
        </w:rPr>
      </w:pPr>
      <w:r w:rsidRPr="003E0885">
        <w:rPr>
          <w:b/>
          <w:bCs/>
          <w:color w:val="auto"/>
          <w:sz w:val="22"/>
          <w:szCs w:val="22"/>
        </w:rPr>
        <w:t xml:space="preserve">14. DISPOSIÇÕES GERAIS </w:t>
      </w:r>
    </w:p>
    <w:p w14:paraId="28636AE0" w14:textId="55C8BF76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14.1 A presente Chamada regula-se pelos preceitos de direito público inseridos no caput do Artigo n° 37 da Constituição Federal, pelas disposições da Lei nº 8.666/93, no que couber, e, em especial, pela RN n° 026/2018 do CNPq e Portaria n° 2.195/2018 do MCTI. </w:t>
      </w:r>
    </w:p>
    <w:p w14:paraId="0907D817" w14:textId="08B364B6" w:rsidR="003E0885" w:rsidRPr="003E0885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14.2 A qualquer tempo, a presente Chamada poderá ser revogada ou anulada, no todo ou em parte, seja por decisão unilateral da Diretoria do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, seja por motivo de interesse público ou exigência legal, em decisão fundamentada, sem que isso implique direito à indenização ou reclamação de qualquer natureza. </w:t>
      </w:r>
    </w:p>
    <w:p w14:paraId="2F0BB450" w14:textId="470569CF" w:rsidR="003E0885" w:rsidRPr="002429FC" w:rsidRDefault="003E0885" w:rsidP="000965F9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3E0885">
        <w:rPr>
          <w:color w:val="auto"/>
          <w:sz w:val="22"/>
          <w:szCs w:val="22"/>
        </w:rPr>
        <w:t xml:space="preserve">14.3 A Diretoria do </w:t>
      </w:r>
      <w:r w:rsidR="00B0170A">
        <w:rPr>
          <w:color w:val="auto"/>
          <w:sz w:val="22"/>
          <w:szCs w:val="22"/>
        </w:rPr>
        <w:t>Museu Paraense Emilio Goeldi</w:t>
      </w:r>
      <w:r w:rsidRPr="003E0885">
        <w:rPr>
          <w:color w:val="auto"/>
          <w:sz w:val="22"/>
          <w:szCs w:val="22"/>
        </w:rPr>
        <w:t xml:space="preserve"> reserva-se o direito de resolver os casos omissos e as situações não previstas na presente Chamada.</w:t>
      </w:r>
    </w:p>
    <w:p w14:paraId="1496348D" w14:textId="77777777" w:rsidR="005D4741" w:rsidRPr="003755E9" w:rsidRDefault="005D4741" w:rsidP="003E0885">
      <w:pPr>
        <w:pStyle w:val="Default"/>
        <w:spacing w:before="120" w:line="360" w:lineRule="auto"/>
        <w:rPr>
          <w:color w:val="auto"/>
          <w:sz w:val="22"/>
          <w:szCs w:val="22"/>
        </w:rPr>
      </w:pPr>
    </w:p>
    <w:sectPr w:rsidR="005D4741" w:rsidRPr="003755E9">
      <w:headerReference w:type="default" r:id="rId8"/>
      <w:footerReference w:type="default" r:id="rId9"/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7A3" w14:textId="77777777" w:rsidR="00DA2C45" w:rsidRDefault="00DA2C45">
      <w:pPr>
        <w:spacing w:after="0" w:line="240" w:lineRule="auto"/>
      </w:pPr>
      <w:r>
        <w:separator/>
      </w:r>
    </w:p>
  </w:endnote>
  <w:endnote w:type="continuationSeparator" w:id="0">
    <w:p w14:paraId="4421696F" w14:textId="77777777" w:rsidR="00DA2C45" w:rsidRDefault="00DA2C45">
      <w:pPr>
        <w:spacing w:after="0" w:line="240" w:lineRule="auto"/>
      </w:pPr>
      <w:r>
        <w:continuationSeparator/>
      </w:r>
    </w:p>
  </w:endnote>
  <w:endnote w:type="continuationNotice" w:id="1">
    <w:p w14:paraId="54F479CD" w14:textId="77777777" w:rsidR="00DA2C45" w:rsidRDefault="00DA2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84FA" w14:textId="4B51E7C6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MCTI/Museu Paraense Emílio Goeldi, Av. Magalhães Barata, nº 376, Bairro de São Braz</w:t>
    </w:r>
  </w:p>
  <w:p w14:paraId="059B6721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Tel</w:t>
    </w:r>
    <w:proofErr w:type="spellEnd"/>
    <w:r>
      <w:rPr>
        <w:color w:val="000000"/>
        <w:sz w:val="18"/>
        <w:szCs w:val="18"/>
      </w:rPr>
      <w:t>: (0XX91) 3249-1302, CEP: 66040-170, Belém /PA</w:t>
    </w:r>
  </w:p>
  <w:p w14:paraId="35D01D94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www.museu-goeldi.br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A138" w14:textId="77777777" w:rsidR="00DA2C45" w:rsidRDefault="00DA2C45">
      <w:pPr>
        <w:spacing w:after="0" w:line="240" w:lineRule="auto"/>
      </w:pPr>
      <w:r>
        <w:separator/>
      </w:r>
    </w:p>
  </w:footnote>
  <w:footnote w:type="continuationSeparator" w:id="0">
    <w:p w14:paraId="13DDF466" w14:textId="77777777" w:rsidR="00DA2C45" w:rsidRDefault="00DA2C45">
      <w:pPr>
        <w:spacing w:after="0" w:line="240" w:lineRule="auto"/>
      </w:pPr>
      <w:r>
        <w:continuationSeparator/>
      </w:r>
    </w:p>
  </w:footnote>
  <w:footnote w:type="continuationNotice" w:id="1">
    <w:p w14:paraId="2149CE7B" w14:textId="77777777" w:rsidR="00DA2C45" w:rsidRDefault="00DA2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7EF4" w14:textId="02AD3EE1" w:rsidR="00637A68" w:rsidRDefault="00457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AC66D6A" wp14:editId="396058A5">
          <wp:extent cx="4794637" cy="8024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515" cy="80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A1356" w14:textId="77777777" w:rsidR="00637A68" w:rsidRDefault="00637A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DA1C"/>
    <w:multiLevelType w:val="hybridMultilevel"/>
    <w:tmpl w:val="86EF7FA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5B679"/>
    <w:multiLevelType w:val="hybridMultilevel"/>
    <w:tmpl w:val="AF94A4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7469FA"/>
    <w:multiLevelType w:val="hybridMultilevel"/>
    <w:tmpl w:val="0C3EE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7FB3E"/>
    <w:multiLevelType w:val="hybridMultilevel"/>
    <w:tmpl w:val="8B03770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FB4AA5"/>
    <w:multiLevelType w:val="hybridMultilevel"/>
    <w:tmpl w:val="7523E2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68"/>
    <w:rsid w:val="000965F9"/>
    <w:rsid w:val="000C7451"/>
    <w:rsid w:val="000F6D00"/>
    <w:rsid w:val="001235AA"/>
    <w:rsid w:val="0014065D"/>
    <w:rsid w:val="001419D5"/>
    <w:rsid w:val="001A7D56"/>
    <w:rsid w:val="001B44FB"/>
    <w:rsid w:val="001B4FE4"/>
    <w:rsid w:val="001C28F5"/>
    <w:rsid w:val="001F25C1"/>
    <w:rsid w:val="001F77C1"/>
    <w:rsid w:val="00203228"/>
    <w:rsid w:val="00204DE6"/>
    <w:rsid w:val="00234674"/>
    <w:rsid w:val="002429FC"/>
    <w:rsid w:val="00265F89"/>
    <w:rsid w:val="002A0525"/>
    <w:rsid w:val="002A0BEC"/>
    <w:rsid w:val="002D0C8A"/>
    <w:rsid w:val="002E57BB"/>
    <w:rsid w:val="00310ECE"/>
    <w:rsid w:val="00320ABC"/>
    <w:rsid w:val="00352B0A"/>
    <w:rsid w:val="003755E9"/>
    <w:rsid w:val="00377F7A"/>
    <w:rsid w:val="003A2CF5"/>
    <w:rsid w:val="003D3445"/>
    <w:rsid w:val="003E0885"/>
    <w:rsid w:val="003F57EB"/>
    <w:rsid w:val="00457F5C"/>
    <w:rsid w:val="004C2373"/>
    <w:rsid w:val="004D32A3"/>
    <w:rsid w:val="004E505F"/>
    <w:rsid w:val="00542F67"/>
    <w:rsid w:val="00565A51"/>
    <w:rsid w:val="005A3770"/>
    <w:rsid w:val="005D4741"/>
    <w:rsid w:val="005D4DB1"/>
    <w:rsid w:val="005E5D32"/>
    <w:rsid w:val="0063169E"/>
    <w:rsid w:val="00633ED4"/>
    <w:rsid w:val="00637A68"/>
    <w:rsid w:val="006568AC"/>
    <w:rsid w:val="00660A74"/>
    <w:rsid w:val="006843C7"/>
    <w:rsid w:val="00686FCA"/>
    <w:rsid w:val="006F7771"/>
    <w:rsid w:val="0070233E"/>
    <w:rsid w:val="00732A82"/>
    <w:rsid w:val="007615C2"/>
    <w:rsid w:val="007A1899"/>
    <w:rsid w:val="007A4F5E"/>
    <w:rsid w:val="007D725A"/>
    <w:rsid w:val="007F14F7"/>
    <w:rsid w:val="007F5571"/>
    <w:rsid w:val="00815886"/>
    <w:rsid w:val="00854768"/>
    <w:rsid w:val="008839FF"/>
    <w:rsid w:val="00891CA1"/>
    <w:rsid w:val="008961FE"/>
    <w:rsid w:val="008C517E"/>
    <w:rsid w:val="008C7A79"/>
    <w:rsid w:val="008C7D8C"/>
    <w:rsid w:val="008E2BBC"/>
    <w:rsid w:val="008F2F56"/>
    <w:rsid w:val="00965F71"/>
    <w:rsid w:val="009E4A04"/>
    <w:rsid w:val="009F0FCA"/>
    <w:rsid w:val="00A63FA4"/>
    <w:rsid w:val="00AA4E64"/>
    <w:rsid w:val="00AE14E0"/>
    <w:rsid w:val="00AF675E"/>
    <w:rsid w:val="00B0170A"/>
    <w:rsid w:val="00B230D4"/>
    <w:rsid w:val="00B43C94"/>
    <w:rsid w:val="00B87765"/>
    <w:rsid w:val="00B93C26"/>
    <w:rsid w:val="00C40DFE"/>
    <w:rsid w:val="00C915C8"/>
    <w:rsid w:val="00CC2018"/>
    <w:rsid w:val="00CF0B25"/>
    <w:rsid w:val="00CF586A"/>
    <w:rsid w:val="00D40C21"/>
    <w:rsid w:val="00D4443B"/>
    <w:rsid w:val="00D83618"/>
    <w:rsid w:val="00D96F36"/>
    <w:rsid w:val="00DA2ACA"/>
    <w:rsid w:val="00DA2C45"/>
    <w:rsid w:val="00DD1191"/>
    <w:rsid w:val="00DD2531"/>
    <w:rsid w:val="00DD7E73"/>
    <w:rsid w:val="00DE70A6"/>
    <w:rsid w:val="00DE7483"/>
    <w:rsid w:val="00E33E72"/>
    <w:rsid w:val="00E36F52"/>
    <w:rsid w:val="00E80B7E"/>
    <w:rsid w:val="00E87CCE"/>
    <w:rsid w:val="00EC2606"/>
    <w:rsid w:val="00F005CD"/>
    <w:rsid w:val="00F0283A"/>
    <w:rsid w:val="00F42EAE"/>
    <w:rsid w:val="00F479F6"/>
    <w:rsid w:val="00F9026E"/>
    <w:rsid w:val="00FB049D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7AEE5"/>
  <w15:docId w15:val="{BB688BD0-7E06-4B57-9333-F9F84D53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E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3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1E2"/>
  </w:style>
  <w:style w:type="paragraph" w:styleId="Rodap">
    <w:name w:val="footer"/>
    <w:basedOn w:val="Normal"/>
    <w:link w:val="RodapChar"/>
    <w:uiPriority w:val="99"/>
    <w:unhideWhenUsed/>
    <w:rsid w:val="002C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B44FB"/>
    <w:rPr>
      <w:b/>
      <w:bCs/>
    </w:rPr>
  </w:style>
  <w:style w:type="character" w:customStyle="1" w:styleId="object">
    <w:name w:val="object"/>
    <w:basedOn w:val="Fontepargpadro"/>
    <w:rsid w:val="001B44FB"/>
  </w:style>
  <w:style w:type="character" w:styleId="Hyperlink">
    <w:name w:val="Hyperlink"/>
    <w:basedOn w:val="Fontepargpadro"/>
    <w:uiPriority w:val="99"/>
    <w:semiHidden/>
    <w:unhideWhenUsed/>
    <w:rsid w:val="001B44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7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40C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C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C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C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35jluFdfyIyDxNC6/DOR0dlLAg==">AMUW2mUCFRZ59LEELSu/ud0jcyO+aoFghW6U+ZiorzewtnWXl0K9Ua9RFG7HhkuMVak/bWFVX4MCmO4fY+ZagNnzuwQ4W6ZZTrYvgGX2CwsUc6KjQ96MTPdO1JkiZeQDMxebRAMiWiqN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Joice Bispo Santos</dc:creator>
  <cp:lastModifiedBy>MPEG</cp:lastModifiedBy>
  <cp:revision>3</cp:revision>
  <cp:lastPrinted>2019-11-18T17:37:00Z</cp:lastPrinted>
  <dcterms:created xsi:type="dcterms:W3CDTF">2021-06-29T18:19:00Z</dcterms:created>
  <dcterms:modified xsi:type="dcterms:W3CDTF">2021-06-29T18:19:00Z</dcterms:modified>
</cp:coreProperties>
</file>